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D301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《宿州教育学院学报》论文模板</w:t>
      </w:r>
    </w:p>
    <w:p w14:paraId="4E094924">
      <w:pPr>
        <w:spacing w:line="360" w:lineRule="auto"/>
        <w:rPr>
          <w:rFonts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</w:rPr>
        <w:t>论文结构组成顺序：题目、作者、单位、摘要、关键词、中图分类号文献标识文章编号、基金项目、作者简介、正文、参考文献、英文部分（题目作者单位摘要关键词）、联系方式</w:t>
      </w:r>
    </w:p>
    <w:p w14:paraId="407CE625">
      <w:pPr>
        <w:spacing w:line="360" w:lineRule="auto"/>
        <w:rPr>
          <w:rFonts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</w:rPr>
        <w:t>每一部分具体字体格式如下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全文单倍行距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/>
          <w:b/>
          <w:bCs/>
          <w:color w:val="000000" w:themeColor="text1"/>
          <w:sz w:val="24"/>
          <w:szCs w:val="24"/>
          <w:shd w:val="clear" w:color="auto" w:fill="FFFFFF"/>
        </w:rPr>
        <w:t>：</w:t>
      </w:r>
    </w:p>
    <w:p w14:paraId="30DA1BA7">
      <w:pPr>
        <w:pStyle w:val="2"/>
        <w:jc w:val="center"/>
        <w:rPr>
          <w:rFonts w:ascii="微软雅黑" w:hAnsi="微软雅黑" w:eastAsia="微软雅黑"/>
        </w:rPr>
      </w:pPr>
      <w:r>
        <w:rPr>
          <w:rFonts w:ascii="黑体" w:hAnsi="黑体" w:eastAsia="黑体"/>
          <w:color w:val="C0C0C0"/>
          <w:shd w:val="clear" w:color="auto" w:fill="FFFFFF"/>
        </w:rPr>
        <w:t>□□□□□□</w:t>
      </w:r>
      <w:r>
        <w:rPr>
          <w:rFonts w:hint="eastAsia" w:ascii="黑体" w:hAnsi="黑体" w:eastAsia="黑体" w:cs="黑体"/>
          <w:shd w:val="clear" w:color="auto" w:fill="FFFFFF"/>
        </w:rPr>
        <w:t>题目</w:t>
      </w:r>
      <w:r>
        <w:rPr>
          <w:rFonts w:ascii="黑体" w:hAnsi="黑体" w:eastAsia="黑体"/>
          <w:color w:val="C0C0C0"/>
          <w:shd w:val="clear" w:color="auto" w:fill="FFFFFF"/>
        </w:rPr>
        <w:t>□□□□□□</w:t>
      </w:r>
      <w:r>
        <w:rPr>
          <w:rFonts w:hint="eastAsia" w:ascii="黑体" w:hAnsi="黑体" w:eastAsia="黑体"/>
          <w:color w:val="C0C0C0"/>
          <w:shd w:val="clear" w:color="auto" w:fill="FFFFFF"/>
        </w:rPr>
        <w:t>（二号黑体）</w:t>
      </w:r>
    </w:p>
    <w:p w14:paraId="387CE7B8">
      <w:pPr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作者姓名   作者姓名（四号楷体）</w:t>
      </w:r>
    </w:p>
    <w:p w14:paraId="346AAE61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(作者单位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{含二级单位}</w:t>
      </w:r>
      <w:r>
        <w:rPr>
          <w:rFonts w:hint="eastAsia" w:ascii="仿宋" w:hAnsi="仿宋" w:eastAsia="仿宋" w:cs="仿宋"/>
          <w:sz w:val="28"/>
          <w:szCs w:val="28"/>
        </w:rPr>
        <w:t xml:space="preserve">   省·市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邮编</w:t>
      </w:r>
      <w:r>
        <w:rPr>
          <w:rFonts w:hint="eastAsia" w:ascii="仿宋" w:hAnsi="仿宋" w:eastAsia="仿宋" w:cs="仿宋"/>
          <w:sz w:val="28"/>
          <w:szCs w:val="28"/>
        </w:rPr>
        <w:t>)（四号仿宋）</w:t>
      </w:r>
    </w:p>
    <w:p w14:paraId="79CD5EC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Cs w:val="21"/>
          <w:shd w:val="clear" w:color="auto" w:fill="FFFFFF"/>
          <w:lang w:val="en-US" w:eastAsia="zh-CN"/>
        </w:rPr>
        <w:t xml:space="preserve">    </w:t>
      </w: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>{示例}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xx大学xx学院     安徽·合肥 230000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597225B"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摘要（五号黑体）：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XXXXXXXXXXXXXXXXXXXXXXXXXXXXXXXXXXXXXXX</w:t>
      </w:r>
      <w:r>
        <w:rPr>
          <w:rFonts w:hint="eastAsia" w:ascii="宋体" w:hAnsi="宋体" w:eastAsia="宋体"/>
          <w:szCs w:val="21"/>
          <w:shd w:val="clear" w:color="auto" w:fill="FFFFFF"/>
        </w:rPr>
        <w:t>（五号楷体）。</w:t>
      </w:r>
      <w:r>
        <w:rPr>
          <w:rFonts w:hint="eastAsia" w:ascii="楷体" w:hAnsi="楷体" w:eastAsia="楷体"/>
          <w:b/>
          <w:bCs/>
          <w:color w:val="FF0000"/>
          <w:szCs w:val="21"/>
          <w:shd w:val="clear" w:color="auto" w:fill="FFFFFF"/>
        </w:rPr>
        <w:t xml:space="preserve"> </w:t>
      </w:r>
    </w:p>
    <w:p w14:paraId="18D6FCAB">
      <w:pPr>
        <w:spacing w:line="360" w:lineRule="auto"/>
        <w:rPr>
          <w:rFonts w:ascii="楷体" w:hAnsi="楷体" w:eastAsia="楷体"/>
          <w:bCs/>
          <w:szCs w:val="21"/>
          <w:shd w:val="clear" w:color="auto" w:fill="FFFFFF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关键词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楷体" w:hAnsi="楷体" w:eastAsia="楷体"/>
          <w:bCs/>
          <w:szCs w:val="21"/>
          <w:shd w:val="clear" w:color="auto" w:fill="FFFFFF"/>
        </w:rPr>
        <w:t>□□□□□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；</w:t>
      </w:r>
      <w:r>
        <w:rPr>
          <w:rFonts w:ascii="楷体" w:hAnsi="楷体" w:eastAsia="楷体"/>
          <w:bCs/>
          <w:szCs w:val="21"/>
          <w:shd w:val="clear" w:color="auto" w:fill="FFFFFF"/>
        </w:rPr>
        <w:t>□□□□□；□□□□□；□□□□□；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（五号楷体）</w:t>
      </w:r>
    </w:p>
    <w:p w14:paraId="7E875A49"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中图分类号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仿宋_GB2312" w:hAnsi="仿宋_GB2312" w:eastAsia="仿宋_GB2312"/>
          <w:szCs w:val="21"/>
          <w:shd w:val="clear" w:color="auto" w:fill="FFFFFF"/>
        </w:rPr>
        <w:t xml:space="preserve">□□□  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文献标识码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黑体" w:hAnsi="黑体" w:eastAsia="黑体"/>
          <w:szCs w:val="21"/>
          <w:shd w:val="clear" w:color="auto" w:fill="FFFFFF"/>
        </w:rPr>
        <w:t xml:space="preserve">A  </w:t>
      </w:r>
      <w:r>
        <w:rPr>
          <w:rFonts w:hint="eastAsia" w:ascii="黑体" w:hAnsi="黑体" w:eastAsia="黑体"/>
          <w:szCs w:val="21"/>
          <w:shd w:val="clear" w:color="auto" w:fill="FFFFFF"/>
        </w:rPr>
        <w:t xml:space="preserve"> 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文章编号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</w:p>
    <w:p w14:paraId="6E0B735C"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楷体" w:hAnsi="楷体" w:eastAsia="楷体"/>
          <w:b/>
          <w:bCs/>
          <w:color w:val="FF0000"/>
          <w:szCs w:val="21"/>
          <w:shd w:val="clear" w:color="auto" w:fill="FFFFFF"/>
        </w:rPr>
        <w:t>{中图分类号由作者自行填写，参见《中国图书馆图书分类法》(第五版)，可查询如下网站确定论文合适的分类号：</w:t>
      </w:r>
      <w:r>
        <w:rPr>
          <w:rFonts w:ascii="Times New Roman" w:hAnsi="Times New Roman" w:eastAsia="楷体" w:cs="Times New Roman"/>
          <w:color w:val="FF0000"/>
          <w:szCs w:val="21"/>
          <w:shd w:val="clear" w:color="auto" w:fill="FFFFFF"/>
        </w:rPr>
        <w:t>http://www.clcindex.com/category/</w:t>
      </w:r>
      <w:r>
        <w:rPr>
          <w:rFonts w:ascii="楷体" w:hAnsi="楷体" w:eastAsia="楷体"/>
          <w:b/>
          <w:bCs/>
          <w:color w:val="FF0000"/>
          <w:szCs w:val="21"/>
          <w:shd w:val="clear" w:color="auto" w:fill="FFFFFF"/>
        </w:rPr>
        <w:t>,或其他网站；文章编号由编辑部填写}</w:t>
      </w:r>
    </w:p>
    <w:p w14:paraId="02667481"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基金项目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楷体" w:hAnsi="楷体" w:eastAsia="楷体"/>
          <w:bCs/>
          <w:szCs w:val="21"/>
          <w:shd w:val="clear" w:color="auto" w:fill="FFFFFF"/>
        </w:rPr>
        <w:t>项目来源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“</w:t>
      </w:r>
      <w:r>
        <w:rPr>
          <w:rFonts w:ascii="楷体" w:hAnsi="楷体" w:eastAsia="楷体"/>
          <w:bCs/>
          <w:szCs w:val="21"/>
          <w:shd w:val="clear" w:color="auto" w:fill="FFFFFF"/>
        </w:rPr>
        <w:t>项目名称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”</w:t>
      </w:r>
      <w:r>
        <w:rPr>
          <w:rFonts w:ascii="楷体" w:hAnsi="楷体" w:eastAsia="楷体"/>
          <w:bCs/>
          <w:szCs w:val="21"/>
          <w:shd w:val="clear" w:color="auto" w:fill="FFFFFF"/>
        </w:rPr>
        <w:t>（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立项号</w:t>
      </w:r>
      <w:r>
        <w:rPr>
          <w:rFonts w:ascii="楷体" w:hAnsi="楷体" w:eastAsia="楷体"/>
          <w:bCs/>
          <w:szCs w:val="21"/>
          <w:shd w:val="clear" w:color="auto" w:fill="FFFFFF"/>
        </w:rPr>
        <w:t>）</w:t>
      </w:r>
      <w:r>
        <w:rPr>
          <w:rFonts w:hint="eastAsia" w:ascii="楷体" w:hAnsi="楷体" w:eastAsia="楷体"/>
          <w:bCs/>
          <w:szCs w:val="21"/>
          <w:shd w:val="clear" w:color="auto" w:fill="FFFFFF"/>
        </w:rPr>
        <w:t>。（五号楷体）</w:t>
      </w:r>
    </w:p>
    <w:p w14:paraId="714C4A74">
      <w:pPr>
        <w:spacing w:line="360" w:lineRule="auto"/>
        <w:rPr>
          <w:rFonts w:ascii="黑体" w:hAnsi="黑体" w:eastAsia="黑体"/>
          <w:szCs w:val="21"/>
        </w:rPr>
      </w:pP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>{示例}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基金项目：</w:t>
      </w:r>
      <w:r>
        <w:rPr>
          <w:rFonts w:ascii="楷体" w:hAnsi="楷体" w:eastAsia="楷体"/>
          <w:szCs w:val="21"/>
          <w:shd w:val="clear" w:color="auto" w:fill="FFFFFF"/>
        </w:rPr>
        <w:t>贵州省高等学校教学内容和课程体系改革项目“贵州地方高校大学英语应用型人才培养模式改革路径探究”（2015SJJG006）；湖南省哲学社会科学基金项目“武陵山区旅游产业竞争力比较研究”（12YBB063）</w:t>
      </w:r>
      <w:r>
        <w:rPr>
          <w:rFonts w:hint="eastAsia" w:ascii="楷体" w:hAnsi="楷体" w:eastAsia="楷体"/>
          <w:szCs w:val="21"/>
          <w:shd w:val="clear" w:color="auto" w:fill="FFFFFF"/>
        </w:rPr>
        <w:t>。</w:t>
      </w:r>
    </w:p>
    <w:p w14:paraId="22A6FBBD">
      <w:pPr>
        <w:spacing w:line="360" w:lineRule="auto"/>
        <w:rPr>
          <w:rFonts w:ascii="楷体" w:hAnsi="楷体" w:eastAsia="楷体"/>
          <w:szCs w:val="21"/>
        </w:rPr>
      </w:pPr>
      <w:r>
        <w:rPr>
          <w:rFonts w:ascii="黑体" w:hAnsi="黑体" w:eastAsia="黑体"/>
          <w:b/>
          <w:bCs/>
          <w:szCs w:val="21"/>
          <w:shd w:val="clear" w:color="auto" w:fill="FFFFFF"/>
        </w:rPr>
        <w:t>作者简介</w:t>
      </w:r>
      <w:r>
        <w:rPr>
          <w:rFonts w:hint="eastAsia" w:ascii="黑体" w:hAnsi="黑体" w:eastAsia="黑体"/>
          <w:b/>
          <w:bCs/>
          <w:szCs w:val="21"/>
          <w:shd w:val="clear" w:color="auto" w:fill="FFFFFF"/>
        </w:rPr>
        <w:t>（五号黑体）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：</w:t>
      </w:r>
      <w:r>
        <w:rPr>
          <w:rFonts w:ascii="楷体" w:hAnsi="楷体" w:eastAsia="楷体"/>
          <w:szCs w:val="21"/>
          <w:shd w:val="clear" w:color="auto" w:fill="FFFFFF"/>
        </w:rPr>
        <w:t>姓名（出生年</w:t>
      </w:r>
      <w:r>
        <w:rPr>
          <w:rFonts w:hint="eastAsia" w:ascii="楷体" w:hAnsi="楷体" w:eastAsia="楷体"/>
          <w:szCs w:val="21"/>
          <w:shd w:val="clear" w:color="auto" w:fill="FFFFFF"/>
          <w:lang w:eastAsia="zh-CN"/>
        </w:rPr>
        <w:t>—</w:t>
      </w:r>
      <w:r>
        <w:rPr>
          <w:rFonts w:ascii="楷体" w:hAnsi="楷体" w:eastAsia="楷体"/>
          <w:szCs w:val="21"/>
          <w:shd w:val="clear" w:color="auto" w:fill="FFFFFF"/>
        </w:rPr>
        <w:t>)，性别，</w:t>
      </w:r>
      <w:r>
        <w:rPr>
          <w:rFonts w:hint="eastAsia" w:ascii="楷体" w:hAnsi="楷体" w:eastAsia="楷体"/>
          <w:szCs w:val="21"/>
          <w:shd w:val="clear" w:color="auto" w:fill="FFFFFF"/>
        </w:rPr>
        <w:t>籍贯，</w:t>
      </w:r>
      <w:r>
        <w:rPr>
          <w:rFonts w:ascii="楷体" w:hAnsi="楷体" w:eastAsia="楷体"/>
          <w:szCs w:val="21"/>
          <w:shd w:val="clear" w:color="auto" w:fill="FFFFFF"/>
        </w:rPr>
        <w:t>单位职称，学位</w:t>
      </w:r>
      <w:r>
        <w:rPr>
          <w:rFonts w:hint="eastAsia" w:ascii="楷体" w:hAnsi="楷体" w:eastAsia="楷体"/>
          <w:szCs w:val="21"/>
          <w:shd w:val="clear" w:color="auto" w:fill="FFFFFF"/>
        </w:rPr>
        <w:t>，研究方向（五号楷体）</w:t>
      </w:r>
      <w:r>
        <w:rPr>
          <w:rFonts w:ascii="楷体" w:hAnsi="楷体" w:eastAsia="楷体"/>
          <w:szCs w:val="21"/>
          <w:shd w:val="clear" w:color="auto" w:fill="FFFFFF"/>
        </w:rPr>
        <w:t>。</w:t>
      </w:r>
    </w:p>
    <w:p w14:paraId="709BA3F4">
      <w:pPr>
        <w:spacing w:line="360" w:lineRule="auto"/>
        <w:rPr>
          <w:rFonts w:ascii="楷体" w:hAnsi="楷体" w:eastAsia="楷体"/>
          <w:szCs w:val="21"/>
          <w:shd w:val="clear" w:color="auto" w:fill="FFFFFF"/>
        </w:rPr>
      </w:pP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 xml:space="preserve">{示例} 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作者简介：</w:t>
      </w:r>
      <w:r>
        <w:rPr>
          <w:rFonts w:hint="eastAsia" w:ascii="楷体" w:hAnsi="楷体" w:eastAsia="楷体"/>
          <w:szCs w:val="21"/>
          <w:shd w:val="clear" w:color="auto" w:fill="FFFFFF"/>
        </w:rPr>
        <w:t>周珊（1988—），女，XX人,XX大学文学学院副教授，文学硕士，研究方向为现代文学；胡风（1988—），男，XX人，XX学院机电系讲师，博士，研究方向为机电一体化。</w:t>
      </w:r>
    </w:p>
    <w:p w14:paraId="30EB7BD6">
      <w:pPr>
        <w:spacing w:line="360" w:lineRule="auto"/>
        <w:rPr>
          <w:rFonts w:ascii="黑体" w:hAnsi="黑体" w:eastAsia="黑体"/>
          <w:sz w:val="18"/>
          <w:szCs w:val="18"/>
        </w:rPr>
      </w:pPr>
      <w:r>
        <w:rPr>
          <w:rFonts w:ascii="方正仿宋简体" w:hAnsi="方正仿宋简体" w:eastAsia="方正仿宋简体"/>
          <w:b/>
          <w:bCs/>
          <w:color w:val="FF0000"/>
          <w:sz w:val="24"/>
          <w:szCs w:val="24"/>
          <w:shd w:val="clear" w:color="auto" w:fill="FFFFFF"/>
        </w:rPr>
        <w:t>{另：</w:t>
      </w:r>
      <w:r>
        <w:rPr>
          <w:rFonts w:ascii="黑体" w:hAnsi="黑体" w:eastAsia="黑体"/>
          <w:color w:val="FF0000"/>
          <w:sz w:val="24"/>
          <w:szCs w:val="24"/>
          <w:shd w:val="clear" w:color="auto" w:fill="FFFFFF"/>
        </w:rPr>
        <w:t>对数学公式，要求采用公式编辑器编写；英文要采用Times New Roman字体</w:t>
      </w:r>
      <w:r>
        <w:rPr>
          <w:rFonts w:ascii="方正仿宋简体" w:hAnsi="方正仿宋简体" w:eastAsia="方正仿宋简体"/>
          <w:b/>
          <w:bCs/>
          <w:color w:val="FF0000"/>
          <w:sz w:val="24"/>
          <w:szCs w:val="24"/>
          <w:shd w:val="clear" w:color="auto" w:fill="FFFFFF"/>
        </w:rPr>
        <w:t>}</w:t>
      </w:r>
    </w:p>
    <w:p w14:paraId="5349F6E9">
      <w:pPr>
        <w:spacing w:line="276" w:lineRule="auto"/>
        <w:ind w:right="13" w:rightChars="6"/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 xml:space="preserve">引言部分 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{</w:t>
      </w:r>
      <w:r>
        <w:rPr>
          <w:rFonts w:ascii="黑体" w:hAnsi="黑体" w:eastAsia="黑体"/>
          <w:color w:val="FF0000"/>
          <w:sz w:val="24"/>
          <w:szCs w:val="24"/>
          <w:shd w:val="clear" w:color="auto" w:fill="FFFFFF"/>
        </w:rPr>
        <w:t>“引言部分”这几个字，不需要呈现出来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}</w:t>
      </w:r>
    </w:p>
    <w:p w14:paraId="7C7A47B5">
      <w:pPr>
        <w:spacing w:before="312" w:after="312" w:line="276" w:lineRule="auto"/>
        <w:ind w:right="13" w:rightChars="6" w:firstLine="420"/>
        <w:rPr>
          <w:rFonts w:hint="eastAsia" w:asciiTheme="minorEastAsia" w:hAnsiTheme="minorEastAsia" w:eastAsiaTheme="minorEastAsia"/>
          <w:color w:val="000000"/>
          <w:szCs w:val="21"/>
          <w:shd w:val="clear" w:color="auto" w:fill="FFFFFF"/>
          <w:lang w:eastAsia="zh-CN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□□□□□□□□□□□□□□□□□□□□□□□□□□□□□□□□□□□□□□□□□□□□□□□□□□□□□□□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eastAsia="zh-CN"/>
        </w:rPr>
        <w:t>。</w:t>
      </w:r>
    </w:p>
    <w:p w14:paraId="4CA46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3" w:rightChars="6" w:firstLine="420"/>
        <w:textAlignment w:val="auto"/>
        <w:rPr>
          <w:rFonts w:hint="eastAsia" w:ascii="黑体" w:hAnsi="黑体" w:eastAsia="黑体"/>
          <w:b/>
          <w:bCs/>
          <w:color w:val="FF0000"/>
          <w:sz w:val="24"/>
          <w:szCs w:val="24"/>
          <w:shd w:val="clear" w:color="auto" w:fill="FFFFFF"/>
          <w:lang w:eastAsia="zh-CN"/>
        </w:rPr>
      </w:pP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>{示例}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李欧梵认为：“‘铁屋子’当然可以看作是中国文化和中国社会的象征，但必然还会有更普遍的哲学意义。它形成了鲁迅写作的某种特殊要求，就是在作品中赋予那‘少数清醒者’以生命。”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vertAlign w:val="superscript"/>
        </w:rPr>
        <w:t>[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vertAlign w:val="superscript"/>
          <w:lang w:val="en-US" w:eastAsia="zh-CN"/>
        </w:rPr>
        <w:t>1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vertAlign w:val="superscript"/>
        </w:rPr>
        <w:t>]</w:t>
      </w:r>
      <w:r>
        <w:rPr>
          <w:rFonts w:hint="eastAsia" w:ascii="黑体" w:hAnsi="黑体" w:eastAsia="黑体"/>
          <w:b/>
          <w:bCs/>
          <w:color w:val="FF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黑体" w:hAnsi="黑体" w:eastAsia="黑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完整引用时，句号置于引号内，文献序号置于后引号外</w:t>
      </w:r>
      <w:r>
        <w:rPr>
          <w:rFonts w:hint="eastAsia" w:ascii="黑体" w:hAnsi="黑体" w:eastAsia="黑体"/>
          <w:b/>
          <w:bCs/>
          <w:color w:val="FF0000"/>
          <w:sz w:val="24"/>
          <w:szCs w:val="24"/>
          <w:shd w:val="clear" w:color="auto" w:fill="FFFFFF"/>
          <w:lang w:eastAsia="zh-CN"/>
        </w:rPr>
        <w:t>）</w:t>
      </w:r>
    </w:p>
    <w:p w14:paraId="7DC62E73">
      <w:pPr>
        <w:spacing w:line="276" w:lineRule="auto"/>
        <w:ind w:right="13" w:rightChars="6"/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</w:pPr>
    </w:p>
    <w:p w14:paraId="6DD1AB93">
      <w:pPr>
        <w:spacing w:line="276" w:lineRule="auto"/>
        <w:ind w:right="13" w:rightChars="6"/>
        <w:rPr>
          <w:rFonts w:hint="eastAsia" w:ascii="黑体" w:hAnsi="黑体" w:eastAsia="黑体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ascii="黑体" w:hAnsi="黑体" w:eastAsia="黑体"/>
          <w:b/>
          <w:bCs/>
          <w:color w:val="FF0000"/>
          <w:szCs w:val="21"/>
          <w:shd w:val="clear" w:color="auto" w:fill="FFFFFF"/>
        </w:rPr>
        <w:t>{示例}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鲁迅少年时父亲病重，曾有四年的时间“出入于质铺和药店”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vertAlign w:val="superscript"/>
          <w:lang w:val="en-US" w:eastAsia="zh-CN"/>
        </w:rPr>
        <w:t>[2]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（部分引用时，句号或逗号置于引号外，文献序号置于句号或逗号前）</w:t>
      </w:r>
    </w:p>
    <w:p w14:paraId="7805E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482" w:firstLineChars="200"/>
        <w:textAlignment w:val="auto"/>
        <w:rPr>
          <w:rFonts w:ascii="微软雅黑" w:hAnsi="微软雅黑" w:eastAsia="微软雅黑"/>
          <w:szCs w:val="21"/>
        </w:rPr>
      </w:pPr>
      <w:r>
        <w:rPr>
          <w:rFonts w:ascii="黑体" w:hAnsi="黑体" w:eastAsia="黑体"/>
          <w:b/>
          <w:bCs/>
          <w:sz w:val="24"/>
          <w:szCs w:val="24"/>
          <w:shd w:val="clear" w:color="auto" w:fill="FFFFFF"/>
        </w:rPr>
        <w:t>一、</w:t>
      </w: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>一级标题(</w:t>
      </w:r>
      <w:r>
        <w:rPr>
          <w:rFonts w:hint="eastAsia" w:ascii="黑体" w:hAnsi="黑体" w:eastAsia="黑体"/>
          <w:color w:val="FF0000"/>
          <w:kern w:val="0"/>
          <w:sz w:val="24"/>
          <w:szCs w:val="24"/>
          <w:shd w:val="clear" w:color="auto" w:fill="FFFFFF"/>
          <w:lang w:val="en-US" w:eastAsia="zh-CN"/>
        </w:rPr>
        <w:t>四号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黑体)</w:t>
      </w:r>
    </w:p>
    <w:p w14:paraId="58234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420" w:firstLineChars="200"/>
        <w:jc w:val="left"/>
        <w:textAlignment w:val="auto"/>
        <w:rPr>
          <w:rFonts w:ascii="方正小标宋简体" w:hAnsi="方正小标宋简体" w:eastAsia="方正小标宋简体"/>
          <w:sz w:val="20"/>
          <w:szCs w:val="20"/>
          <w:shd w:val="clear" w:color="auto" w:fill="FFFFFF"/>
        </w:rPr>
      </w:pPr>
      <w:r>
        <w:rPr>
          <w:rFonts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□□□□□□□□□□□□□□□□□□□□□□□□□□□□□□□□□□□□□□□□□□□□□□□□□□□□□□□□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val="en-US" w:eastAsia="zh-CN"/>
        </w:rPr>
        <w:t>宋体五号</w:t>
      </w:r>
      <w:r>
        <w:rPr>
          <w:rFonts w:hint="eastAsia" w:asciiTheme="minorEastAsia" w:hAnsiTheme="minorEastAsia"/>
          <w:color w:val="000000"/>
          <w:szCs w:val="21"/>
          <w:shd w:val="clear" w:color="auto" w:fill="FFFFFF"/>
          <w:lang w:eastAsia="zh-CN"/>
        </w:rPr>
        <w:t>）</w:t>
      </w:r>
    </w:p>
    <w:p w14:paraId="50F6C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400" w:firstLineChars="200"/>
        <w:jc w:val="left"/>
        <w:textAlignment w:val="auto"/>
        <w:rPr>
          <w:rFonts w:ascii="方正小标宋简体" w:hAnsi="方正小标宋简体" w:eastAsia="方正小标宋简体"/>
          <w:sz w:val="20"/>
          <w:szCs w:val="20"/>
        </w:rPr>
      </w:pPr>
      <w:r>
        <w:rPr>
          <w:rFonts w:ascii="方正小标宋简体" w:hAnsi="方正小标宋简体" w:eastAsia="方正小标宋简体"/>
          <w:sz w:val="20"/>
          <w:szCs w:val="20"/>
          <w:shd w:val="clear" w:color="auto" w:fill="FFFFFF"/>
        </w:rPr>
        <w:t>（</w:t>
      </w:r>
      <w:r>
        <w:rPr>
          <w:rFonts w:ascii="黑体" w:hAnsi="黑体" w:eastAsia="黑体"/>
          <w:b/>
          <w:bCs/>
          <w:szCs w:val="21"/>
          <w:shd w:val="clear" w:color="auto" w:fill="FFFFFF"/>
        </w:rPr>
        <w:t>一）</w:t>
      </w:r>
      <w:r>
        <w:rPr>
          <w:rFonts w:ascii="楷体" w:hAnsi="楷体" w:eastAsia="楷体"/>
          <w:szCs w:val="21"/>
          <w:shd w:val="clear" w:color="auto" w:fill="FFFFFF"/>
        </w:rPr>
        <w:t>二级标题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/>
          <w:color w:val="FF0000"/>
          <w:kern w:val="0"/>
          <w:sz w:val="24"/>
          <w:szCs w:val="24"/>
          <w:shd w:val="clear" w:color="auto" w:fill="FFFFFF"/>
          <w:lang w:val="en-US" w:eastAsia="zh-CN"/>
        </w:rPr>
        <w:t>五号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楷体）</w:t>
      </w:r>
    </w:p>
    <w:p w14:paraId="21964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□□□□□□□□□□□□□□□□□□□□□□□□□□□□□□□□□□□□□□□□□□□□□□□□□□□□□□□□</w:t>
      </w:r>
    </w:p>
    <w:p w14:paraId="61D03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422" w:firstLineChars="200"/>
        <w:jc w:val="left"/>
        <w:textAlignment w:val="auto"/>
        <w:rPr>
          <w:rFonts w:ascii="方正小标宋简体" w:hAnsi="方正小标宋简体" w:eastAsia="方正小标宋简体"/>
          <w:sz w:val="20"/>
          <w:szCs w:val="20"/>
        </w:rPr>
      </w:pPr>
      <w:r>
        <w:rPr>
          <w:rFonts w:ascii="宋体" w:hAnsi="宋体" w:eastAsia="宋体"/>
          <w:b/>
          <w:bCs/>
          <w:szCs w:val="21"/>
          <w:shd w:val="clear" w:color="auto" w:fill="FFFFFF"/>
        </w:rPr>
        <w:t>1.</w:t>
      </w:r>
      <w:r>
        <w:rPr>
          <w:rFonts w:ascii="宋体" w:hAnsi="宋体" w:eastAsia="宋体"/>
          <w:color w:val="C0C0C0"/>
          <w:szCs w:val="21"/>
          <w:shd w:val="clear" w:color="auto" w:fill="FFFFFF"/>
        </w:rPr>
        <w:t>□</w:t>
      </w:r>
      <w:r>
        <w:rPr>
          <w:rFonts w:ascii="宋体" w:hAnsi="宋体" w:eastAsia="宋体"/>
          <w:szCs w:val="21"/>
          <w:shd w:val="clear" w:color="auto" w:fill="FFFFFF"/>
        </w:rPr>
        <w:t>三级标题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/>
          <w:color w:val="FF0000"/>
          <w:kern w:val="0"/>
          <w:sz w:val="24"/>
          <w:szCs w:val="24"/>
          <w:shd w:val="clear" w:color="auto" w:fill="FFFFFF"/>
          <w:lang w:val="en-US" w:eastAsia="zh-CN"/>
        </w:rPr>
        <w:t>5号</w:t>
      </w:r>
      <w:r>
        <w:rPr>
          <w:rFonts w:ascii="黑体" w:hAnsi="黑体" w:eastAsia="黑体"/>
          <w:color w:val="FF0000"/>
          <w:kern w:val="0"/>
          <w:sz w:val="24"/>
          <w:szCs w:val="24"/>
          <w:shd w:val="clear" w:color="auto" w:fill="FFFFFF"/>
        </w:rPr>
        <w:t>宋体）</w:t>
      </w:r>
    </w:p>
    <w:p w14:paraId="231F24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420" w:firstLineChars="200"/>
        <w:textAlignment w:val="auto"/>
        <w:rPr>
          <w:rFonts w:hint="eastAsia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□□□□□□□□□□□□□□□□□□□□□□□□□□□□□□□□□□□□□□□□□□□□□□□□□□□□□□□□</w:t>
      </w:r>
    </w:p>
    <w:p w14:paraId="4E732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562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>二、一级标题</w:t>
      </w:r>
    </w:p>
    <w:p w14:paraId="6D8A0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2100" w:firstLineChars="1000"/>
        <w:textAlignment w:val="auto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……</w:t>
      </w:r>
    </w:p>
    <w:p w14:paraId="02BA5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13" w:rightChars="6" w:firstLine="562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  <w:shd w:val="clear" w:color="auto" w:fill="FFFFFF"/>
        </w:rPr>
        <w:t>结 语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{</w:t>
      </w:r>
      <w:r>
        <w:rPr>
          <w:rFonts w:ascii="黑体" w:hAnsi="黑体" w:eastAsia="黑体"/>
          <w:color w:val="FF0000"/>
          <w:sz w:val="24"/>
          <w:szCs w:val="24"/>
          <w:shd w:val="clear" w:color="auto" w:fill="FFFFFF"/>
        </w:rPr>
        <w:t>“结语”这两个字，需要呈现出来</w:t>
      </w:r>
      <w:r>
        <w:rPr>
          <w:rFonts w:ascii="黑体" w:hAnsi="黑体" w:eastAsia="黑体"/>
          <w:b/>
          <w:bCs/>
          <w:color w:val="FF0000"/>
          <w:sz w:val="24"/>
          <w:szCs w:val="24"/>
          <w:shd w:val="clear" w:color="auto" w:fill="FFFFFF"/>
        </w:rPr>
        <w:t>}</w:t>
      </w:r>
    </w:p>
    <w:p w14:paraId="6A899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firstLine="420" w:firstLineChars="200"/>
        <w:textAlignment w:val="auto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000000"/>
          <w:szCs w:val="21"/>
          <w:shd w:val="clear" w:color="auto" w:fill="FFFFFF"/>
        </w:rPr>
        <w:t>□□□□□□□□□（宋体五号）</w:t>
      </w:r>
      <w:r>
        <w:rPr>
          <w:rFonts w:asciiTheme="minorEastAsia" w:hAnsiTheme="minorEastAsia"/>
          <w:color w:val="FFFFFF"/>
          <w:szCs w:val="21"/>
          <w:shd w:val="clear" w:color="auto" w:fill="FFFFFF"/>
        </w:rPr>
        <w:t>□□□□□</w:t>
      </w:r>
    </w:p>
    <w:p w14:paraId="19EB2B65">
      <w:pPr>
        <w:spacing w:line="276" w:lineRule="auto"/>
        <w:ind w:right="13" w:rightChars="6"/>
        <w:jc w:val="left"/>
        <w:rPr>
          <w:rFonts w:ascii="黑体" w:hAnsi="黑体" w:eastAsia="黑体"/>
          <w:b/>
          <w:bCs/>
          <w:sz w:val="21"/>
          <w:szCs w:val="21"/>
          <w:shd w:val="clear" w:color="auto" w:fill="FFFFFF"/>
        </w:rPr>
      </w:pPr>
    </w:p>
    <w:p w14:paraId="06BBBF97">
      <w:pPr>
        <w:spacing w:line="276" w:lineRule="auto"/>
        <w:ind w:right="13" w:rightChars="6"/>
        <w:jc w:val="left"/>
        <w:rPr>
          <w:rFonts w:ascii="微软雅黑" w:hAnsi="微软雅黑" w:eastAsia="微软雅黑"/>
          <w:sz w:val="21"/>
          <w:szCs w:val="21"/>
        </w:rPr>
      </w:pPr>
      <w:r>
        <w:rPr>
          <w:rFonts w:ascii="黑体" w:hAnsi="黑体" w:eastAsia="黑体"/>
          <w:b/>
          <w:bCs/>
          <w:sz w:val="21"/>
          <w:szCs w:val="21"/>
          <w:shd w:val="clear" w:color="auto" w:fill="FFFFFF"/>
        </w:rPr>
        <w:t>参考文献：</w:t>
      </w:r>
      <w:r>
        <w:rPr>
          <w:rFonts w:ascii="楷体" w:hAnsi="楷体" w:eastAsia="楷体"/>
          <w:color w:val="FF0000"/>
          <w:sz w:val="21"/>
          <w:szCs w:val="21"/>
          <w:shd w:val="clear" w:color="auto" w:fill="FFFFFF"/>
        </w:rPr>
        <w:t>（</w:t>
      </w:r>
      <w:r>
        <w:rPr>
          <w:rFonts w:hint="eastAsia" w:ascii="楷体" w:hAnsi="楷体" w:eastAsia="楷体"/>
          <w:color w:val="FF0000"/>
          <w:sz w:val="21"/>
          <w:szCs w:val="21"/>
          <w:shd w:val="clear" w:color="auto" w:fill="FFFFFF"/>
          <w:lang w:val="en-US" w:eastAsia="zh-CN"/>
        </w:rPr>
        <w:t>5号</w:t>
      </w:r>
      <w:r>
        <w:rPr>
          <w:rFonts w:ascii="黑体" w:hAnsi="黑体" w:eastAsia="黑体"/>
          <w:color w:val="FF0000"/>
          <w:kern w:val="0"/>
          <w:sz w:val="21"/>
          <w:szCs w:val="21"/>
          <w:shd w:val="clear" w:color="auto" w:fill="FFFFFF"/>
        </w:rPr>
        <w:t>黑体</w:t>
      </w:r>
      <w:r>
        <w:rPr>
          <w:rFonts w:ascii="楷体" w:hAnsi="楷体" w:eastAsia="楷体"/>
          <w:color w:val="FF0000"/>
          <w:sz w:val="21"/>
          <w:szCs w:val="21"/>
          <w:shd w:val="clear" w:color="auto" w:fill="FFFFFF"/>
        </w:rPr>
        <w:t>）</w:t>
      </w:r>
    </w:p>
    <w:p w14:paraId="2AFC41BB"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[1]</w:t>
      </w:r>
      <w:r>
        <w:rPr>
          <w:rFonts w:hint="eastAsia" w:ascii="楷体" w:hAnsi="楷体" w:eastAsia="楷体"/>
          <w:sz w:val="21"/>
          <w:szCs w:val="21"/>
        </w:rPr>
        <w:t>钱志熙.论唐诗体裁系统的优势[J].陕西师范大学学报(哲学社会科学版),2005,(04):49-55.</w:t>
      </w:r>
      <w:r>
        <w:rPr>
          <w:rFonts w:ascii="楷体" w:hAnsi="楷体" w:eastAsia="楷体"/>
          <w:color w:val="FF0000"/>
          <w:sz w:val="21"/>
          <w:szCs w:val="21"/>
        </w:rPr>
        <w:t>（</w:t>
      </w:r>
      <w:r>
        <w:rPr>
          <w:rFonts w:hint="eastAsia" w:ascii="楷体" w:hAnsi="楷体" w:eastAsia="楷体"/>
          <w:color w:val="FF0000"/>
          <w:sz w:val="21"/>
          <w:szCs w:val="21"/>
          <w:lang w:val="en-US" w:eastAsia="zh-CN"/>
        </w:rPr>
        <w:t>5号楷体</w:t>
      </w:r>
      <w:r>
        <w:rPr>
          <w:rFonts w:ascii="楷体" w:hAnsi="楷体" w:eastAsia="楷体"/>
          <w:color w:val="FF0000"/>
          <w:sz w:val="21"/>
          <w:szCs w:val="21"/>
        </w:rPr>
        <w:t>）</w:t>
      </w:r>
    </w:p>
    <w:p w14:paraId="5F469FB3"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[2]易蒲,李金苓.汉语修辞学史纲</w:t>
      </w:r>
      <w:r>
        <w:rPr>
          <w:rFonts w:hint="eastAsia" w:ascii="楷体" w:hAnsi="楷体" w:eastAsia="楷体"/>
          <w:sz w:val="21"/>
          <w:szCs w:val="21"/>
        </w:rPr>
        <w:t>[</w:t>
      </w:r>
      <w:r>
        <w:rPr>
          <w:rFonts w:ascii="楷体" w:hAnsi="楷体" w:eastAsia="楷体"/>
          <w:sz w:val="21"/>
          <w:szCs w:val="21"/>
        </w:rPr>
        <w:t>M</w:t>
      </w:r>
      <w:r>
        <w:rPr>
          <w:rFonts w:hint="eastAsia" w:ascii="楷体" w:hAnsi="楷体" w:eastAsia="楷体"/>
          <w:sz w:val="21"/>
          <w:szCs w:val="21"/>
        </w:rPr>
        <w:t>].</w:t>
      </w:r>
      <w:r>
        <w:rPr>
          <w:rFonts w:ascii="楷体" w:hAnsi="楷体" w:eastAsia="楷体"/>
          <w:sz w:val="21"/>
          <w:szCs w:val="21"/>
        </w:rPr>
        <w:t>长春：吉林教育出版社，1989：166.</w:t>
      </w:r>
    </w:p>
    <w:p w14:paraId="7219CD5F">
      <w:pPr>
        <w:rPr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[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3</w:t>
      </w:r>
      <w:r>
        <w:rPr>
          <w:rFonts w:hint="eastAsia" w:ascii="楷体" w:hAnsi="楷体" w:eastAsia="楷体"/>
          <w:sz w:val="21"/>
          <w:szCs w:val="21"/>
        </w:rPr>
        <w:t>]雅斯贝尔斯.什么是教育[M].邹进，译.北京：三联书店，1991：12.</w:t>
      </w:r>
      <w:r>
        <w:rPr>
          <w:rFonts w:ascii="楷体" w:hAnsi="楷体" w:eastAsia="楷体"/>
          <w:sz w:val="21"/>
          <w:szCs w:val="21"/>
        </w:rPr>
        <w:t>　　</w:t>
      </w:r>
    </w:p>
    <w:p w14:paraId="4FDFF269"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[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4</w:t>
      </w:r>
      <w:r>
        <w:rPr>
          <w:rFonts w:ascii="楷体" w:hAnsi="楷体" w:eastAsia="楷体"/>
          <w:sz w:val="21"/>
          <w:szCs w:val="21"/>
        </w:rPr>
        <w:t>]陈汝东.汉语数字语音迷信及其类型、形态、属性和成因[A].周建民.修辞学论文集(第11集)[C].北京：中国社会科学出版社，2008.67.　　</w:t>
      </w:r>
    </w:p>
    <w:p w14:paraId="0256424F"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[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5</w:t>
      </w:r>
      <w:r>
        <w:rPr>
          <w:rFonts w:ascii="楷体" w:hAnsi="楷体" w:eastAsia="楷体"/>
          <w:sz w:val="21"/>
          <w:szCs w:val="21"/>
        </w:rPr>
        <w:t>]丁文祥.数字革命与竞争国际化</w:t>
      </w:r>
      <w:r>
        <w:rPr>
          <w:rFonts w:hint="eastAsia" w:ascii="楷体" w:hAnsi="楷体" w:eastAsia="楷体"/>
          <w:sz w:val="21"/>
          <w:szCs w:val="21"/>
        </w:rPr>
        <w:t>[</w:t>
      </w:r>
      <w:r>
        <w:rPr>
          <w:rFonts w:ascii="楷体" w:hAnsi="楷体" w:eastAsia="楷体"/>
          <w:sz w:val="21"/>
          <w:szCs w:val="21"/>
        </w:rPr>
        <w:t>N</w:t>
      </w:r>
      <w:r>
        <w:rPr>
          <w:rFonts w:hint="eastAsia" w:ascii="楷体" w:hAnsi="楷体" w:eastAsia="楷体"/>
          <w:sz w:val="21"/>
          <w:szCs w:val="21"/>
        </w:rPr>
        <w:t>].</w:t>
      </w:r>
      <w:r>
        <w:rPr>
          <w:rFonts w:ascii="楷体" w:hAnsi="楷体" w:eastAsia="楷体"/>
          <w:sz w:val="21"/>
          <w:szCs w:val="21"/>
        </w:rPr>
        <w:t>中国青年报，2000－11－20(15).</w:t>
      </w:r>
    </w:p>
    <w:p w14:paraId="0DDB5A79">
      <w:pPr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[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6</w:t>
      </w:r>
      <w:r>
        <w:rPr>
          <w:rFonts w:ascii="楷体" w:hAnsi="楷体" w:eastAsia="楷体"/>
          <w:sz w:val="21"/>
          <w:szCs w:val="21"/>
        </w:rPr>
        <w:t>]赵天书.诺西肽分阶段补料分批发酵过程优化研究[D].沈阳:东北大学,2013.</w:t>
      </w:r>
    </w:p>
    <w:p w14:paraId="28966F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楷体" w:hAnsi="楷体" w:eastAsia="楷体"/>
          <w:sz w:val="21"/>
          <w:szCs w:val="21"/>
        </w:rPr>
      </w:pPr>
      <w:r>
        <w:rPr>
          <w:rFonts w:ascii="楷体" w:hAnsi="楷体" w:eastAsia="楷体"/>
          <w:sz w:val="21"/>
          <w:szCs w:val="21"/>
        </w:rPr>
        <w:t>[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7</w:t>
      </w:r>
      <w:r>
        <w:rPr>
          <w:rFonts w:ascii="楷体" w:hAnsi="楷体" w:eastAsia="楷体"/>
          <w:sz w:val="21"/>
          <w:szCs w:val="21"/>
        </w:rPr>
        <w:t>]熊仁宽.评《西周楚国初封及迁移原因解》[EB/OL].(2014-03-22)[2014-04-22]</w:t>
      </w:r>
      <w:r>
        <w:rPr>
          <w:rFonts w:hint="eastAsia" w:ascii="楷体" w:hAnsi="楷体" w:eastAsia="楷体"/>
          <w:sz w:val="21"/>
          <w:szCs w:val="21"/>
        </w:rPr>
        <w:t>.</w:t>
      </w:r>
      <w:r>
        <w:rPr>
          <w:rFonts w:ascii="楷体" w:hAnsi="楷体" w:eastAsia="楷体"/>
          <w:sz w:val="21"/>
          <w:szCs w:val="21"/>
        </w:rPr>
        <w:t>http://www.pkucn.com/thread-300330-1-1.html</w:t>
      </w:r>
    </w:p>
    <w:p w14:paraId="2EB00280">
      <w:pPr>
        <w:rPr>
          <w:rFonts w:ascii="楷体" w:hAnsi="楷体" w:eastAsia="楷体"/>
          <w:sz w:val="21"/>
          <w:szCs w:val="21"/>
        </w:rPr>
      </w:pPr>
    </w:p>
    <w:p w14:paraId="443BF2F6">
      <w:pPr>
        <w:rPr>
          <w:rFonts w:ascii="楷体" w:hAnsi="楷体" w:eastAsia="楷体"/>
          <w:sz w:val="21"/>
          <w:szCs w:val="21"/>
        </w:rPr>
      </w:pPr>
    </w:p>
    <w:p w14:paraId="5BF5408C">
      <w:pPr>
        <w:rPr>
          <w:rFonts w:ascii="楷体" w:hAnsi="楷体" w:eastAsia="楷体"/>
          <w:sz w:val="21"/>
          <w:szCs w:val="21"/>
        </w:rPr>
      </w:pPr>
    </w:p>
    <w:p w14:paraId="48CF5207">
      <w:pPr>
        <w:rPr>
          <w:rFonts w:ascii="楷体" w:hAnsi="楷体" w:eastAsia="楷体"/>
          <w:sz w:val="21"/>
          <w:szCs w:val="21"/>
        </w:rPr>
      </w:pPr>
    </w:p>
    <w:p w14:paraId="66E61C9D">
      <w:pP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4"/>
          <w:szCs w:val="44"/>
          <w:lang w:val="en-US" w:eastAsia="zh-CN"/>
        </w:rPr>
        <w:t>以下为英文部分要求：（均为Times New Roman字体）</w:t>
      </w:r>
    </w:p>
    <w:p w14:paraId="4F4C13F1">
      <w:pPr>
        <w:pStyle w:val="2"/>
        <w:jc w:val="center"/>
        <w:rPr>
          <w:rFonts w:hint="default" w:ascii="Times New Roman" w:hAnsi="Times New Roman" w:eastAsia="微软雅黑" w:cs="Times New Roman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sz w:val="28"/>
          <w:szCs w:val="28"/>
          <w:shd w:val="clear" w:color="auto" w:fill="FFFFFF"/>
        </w:rPr>
        <w:t xml:space="preserve">The </w:t>
      </w:r>
      <w:r>
        <w:rPr>
          <w:rFonts w:hint="eastAsia" w:ascii="Times New Roman" w:hAnsi="Times New Roman" w:eastAsia="微软雅黑" w:cs="Times New Roman"/>
          <w:sz w:val="28"/>
          <w:szCs w:val="28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eastAsia="微软雅黑" w:cs="Times New Roman"/>
          <w:sz w:val="28"/>
          <w:szCs w:val="28"/>
          <w:shd w:val="clear" w:color="auto" w:fill="FFFFFF"/>
        </w:rPr>
        <w:t xml:space="preserve">piritual </w:t>
      </w:r>
      <w:r>
        <w:rPr>
          <w:rFonts w:hint="eastAsia" w:ascii="Times New Roman" w:hAnsi="Times New Roman" w:eastAsia="微软雅黑" w:cs="Times New Roman"/>
          <w:sz w:val="28"/>
          <w:szCs w:val="28"/>
          <w:shd w:val="clear" w:color="auto" w:fill="FFFFFF"/>
          <w:lang w:val="en-US" w:eastAsia="zh-CN"/>
        </w:rPr>
        <w:t>V</w:t>
      </w:r>
      <w:r>
        <w:rPr>
          <w:rFonts w:hint="default" w:ascii="Times New Roman" w:hAnsi="Times New Roman" w:eastAsia="微软雅黑" w:cs="Times New Roman"/>
          <w:sz w:val="28"/>
          <w:szCs w:val="28"/>
          <w:shd w:val="clear" w:color="auto" w:fill="FFFFFF"/>
        </w:rPr>
        <w:t xml:space="preserve">alue of the </w:t>
      </w:r>
      <w:r>
        <w:rPr>
          <w:rFonts w:hint="eastAsia" w:ascii="Times New Roman" w:hAnsi="Times New Roman" w:eastAsia="微软雅黑" w:cs="Times New Roman"/>
          <w:sz w:val="28"/>
          <w:szCs w:val="28"/>
          <w:shd w:val="clear" w:color="auto" w:fill="FFFFFF"/>
          <w:lang w:val="en-US" w:eastAsia="zh-CN"/>
        </w:rPr>
        <w:t>L</w:t>
      </w:r>
      <w:r>
        <w:rPr>
          <w:rFonts w:hint="default" w:ascii="Times New Roman" w:hAnsi="Times New Roman" w:eastAsia="微软雅黑" w:cs="Times New Roman"/>
          <w:sz w:val="28"/>
          <w:szCs w:val="28"/>
          <w:shd w:val="clear" w:color="auto" w:fill="FFFFFF"/>
        </w:rPr>
        <w:t xml:space="preserve">ocal </w:t>
      </w:r>
      <w:r>
        <w:rPr>
          <w:rFonts w:hint="eastAsia" w:ascii="Times New Roman" w:hAnsi="Times New Roman" w:eastAsia="微软雅黑" w:cs="Times New Roman"/>
          <w:sz w:val="28"/>
          <w:szCs w:val="28"/>
          <w:shd w:val="clear" w:color="auto" w:fill="FFFFFF"/>
          <w:lang w:val="en-US" w:eastAsia="zh-CN"/>
        </w:rPr>
        <w:t>N</w:t>
      </w:r>
      <w:r>
        <w:rPr>
          <w:rFonts w:hint="default" w:ascii="Times New Roman" w:hAnsi="Times New Roman" w:eastAsia="微软雅黑" w:cs="Times New Roman"/>
          <w:sz w:val="28"/>
          <w:szCs w:val="28"/>
          <w:shd w:val="clear" w:color="auto" w:fill="FFFFFF"/>
        </w:rPr>
        <w:t>ovels of Lu Xun and Shen Congwen</w:t>
      </w:r>
      <w:r>
        <w:rPr>
          <w:rFonts w:hint="default" w:ascii="Times New Roman" w:hAnsi="Times New Roman" w:eastAsia="微软雅黑" w:cs="Times New Roman"/>
          <w:shd w:val="clear" w:color="auto" w:fill="FFFFFF"/>
        </w:rPr>
        <w:t>（</w:t>
      </w:r>
      <w:r>
        <w:rPr>
          <w:rFonts w:hint="default" w:ascii="Times New Roman" w:hAnsi="Times New Roman" w:eastAsia="微软雅黑" w:cs="Times New Roman"/>
          <w:shd w:val="clear" w:color="auto" w:fill="FFFFFF"/>
          <w:lang w:val="en-US" w:eastAsia="zh-CN"/>
        </w:rPr>
        <w:t xml:space="preserve">4号加粗 </w:t>
      </w:r>
      <w:r>
        <w:rPr>
          <w:rFonts w:hint="default" w:ascii="Times New Roman" w:hAnsi="Times New Roman" w:eastAsia="微软雅黑" w:cs="Times New Roman"/>
          <w:shd w:val="clear" w:color="auto" w:fill="FFFFFF"/>
        </w:rPr>
        <w:t>）</w:t>
      </w:r>
    </w:p>
    <w:p w14:paraId="5DDF4975">
      <w:pPr>
        <w:jc w:val="center"/>
        <w:rPr>
          <w:rFonts w:hint="default" w:ascii="Times New Roman" w:hAnsi="Times New Roman" w:eastAsia="楷体_GB2312" w:cs="Times New Roman"/>
          <w:sz w:val="24"/>
          <w:szCs w:val="24"/>
        </w:rPr>
      </w:pP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作者姓名（</w:t>
      </w:r>
      <w:r>
        <w:rPr>
          <w:rFonts w:hint="eastAsia" w:ascii="Times New Roman" w:hAnsi="Times New Roman" w:eastAsia="楷体_GB2312" w:cs="Times New Roman"/>
          <w:b/>
          <w:bCs/>
          <w:sz w:val="24"/>
          <w:szCs w:val="24"/>
          <w:lang w:val="en-US" w:eastAsia="zh-CN"/>
        </w:rPr>
        <w:t>小四</w:t>
      </w:r>
      <w:r>
        <w:rPr>
          <w:rFonts w:hint="default" w:ascii="Times New Roman" w:hAnsi="Times New Roman" w:eastAsia="楷体_GB2312" w:cs="Times New Roman"/>
          <w:b/>
          <w:bCs/>
          <w:sz w:val="24"/>
          <w:szCs w:val="24"/>
        </w:rPr>
        <w:t>号）</w:t>
      </w:r>
    </w:p>
    <w:p w14:paraId="6D66F9E6">
      <w:pPr>
        <w:jc w:val="center"/>
        <w:rPr>
          <w:rFonts w:hint="default" w:ascii="Times New Roman" w:hAnsi="Times New Roman" w:eastAsia="楷体_GB2312" w:cs="Times New Roman"/>
          <w:sz w:val="21"/>
          <w:szCs w:val="21"/>
        </w:rPr>
      </w:pPr>
      <w:r>
        <w:rPr>
          <w:rFonts w:hint="default" w:ascii="Times New Roman" w:hAnsi="Times New Roman" w:eastAsia="仿宋" w:cs="Times New Roman"/>
          <w:sz w:val="21"/>
          <w:szCs w:val="21"/>
        </w:rPr>
        <w:t>(作者单位   市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1"/>
          <w:szCs w:val="21"/>
        </w:rPr>
        <w:t xml:space="preserve">省 </w:t>
      </w:r>
      <w:r>
        <w:rPr>
          <w:rFonts w:hint="default" w:ascii="Times New Roman" w:hAnsi="Times New Roman" w:eastAsia="仿宋" w:cs="Times New Roman"/>
          <w:sz w:val="21"/>
          <w:szCs w:val="21"/>
          <w:shd w:val="clear" w:color="auto" w:fill="FFFFFF"/>
        </w:rPr>
        <w:t>邮编</w:t>
      </w:r>
      <w:r>
        <w:rPr>
          <w:rFonts w:hint="default" w:ascii="Times New Roman" w:hAnsi="Times New Roman" w:eastAsia="楷体_GB2312" w:cs="Times New Roman"/>
          <w:sz w:val="21"/>
          <w:szCs w:val="21"/>
        </w:rPr>
        <w:t>)（5号）</w:t>
      </w:r>
    </w:p>
    <w:p w14:paraId="3EE152ED">
      <w:pPr>
        <w:rPr>
          <w:rFonts w:ascii="黑体" w:hAnsi="黑体" w:eastAsia="黑体"/>
          <w:b/>
          <w:bCs/>
          <w:szCs w:val="21"/>
          <w:shd w:val="clear" w:color="auto" w:fill="FFFFFF"/>
        </w:rPr>
      </w:pPr>
    </w:p>
    <w:p w14:paraId="1EF308F2">
      <w:pPr>
        <w:ind w:left="5481" w:hanging="5481" w:hangingChars="2600"/>
        <w:jc w:val="left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Cs w:val="21"/>
          <w:shd w:val="clear" w:color="auto" w:fill="FFFFFF"/>
        </w:rPr>
        <w:t xml:space="preserve">Abstract：（5号 </w:t>
      </w:r>
      <w:r>
        <w:rPr>
          <w:rFonts w:hint="eastAsia" w:ascii="Times New Roman" w:hAnsi="Times New Roman" w:eastAsia="黑体" w:cs="Times New Roman"/>
          <w:b/>
          <w:bCs/>
          <w:szCs w:val="21"/>
          <w:shd w:val="clear" w:color="auto" w:fill="FFFFFF"/>
          <w:lang w:val="en-US" w:eastAsia="zh-CN"/>
        </w:rPr>
        <w:t>加粗</w:t>
      </w:r>
      <w:r>
        <w:rPr>
          <w:rFonts w:hint="default" w:ascii="Times New Roman" w:hAnsi="Times New Roman" w:eastAsia="黑体" w:cs="Times New Roman"/>
          <w:b/>
          <w:bCs/>
          <w:szCs w:val="21"/>
          <w:shd w:val="clear" w:color="auto" w:fill="FFFFFF"/>
        </w:rPr>
        <w:t xml:space="preserve"> ）</w:t>
      </w:r>
      <w:r>
        <w:rPr>
          <w:rFonts w:hint="default" w:ascii="Times New Roman" w:hAnsi="Times New Roman" w:eastAsia="宋体" w:cs="Times New Roman"/>
          <w:szCs w:val="21"/>
          <w:shd w:val="clear" w:color="auto" w:fill="FFFFFF"/>
        </w:rPr>
        <w:t>□□□□□□□□□□□□□□□□□□□□□□□□□□□□□□□□□□。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val="en-US" w:eastAsia="zh-CN"/>
        </w:rPr>
        <w:t xml:space="preserve">5号 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lang w:eastAsia="zh-CN"/>
        </w:rPr>
        <w:t>）</w:t>
      </w:r>
    </w:p>
    <w:p w14:paraId="4DADD522">
      <w:pPr>
        <w:spacing w:line="360" w:lineRule="auto"/>
        <w:rPr>
          <w:rFonts w:hint="default" w:ascii="Times New Roman" w:hAnsi="Times New Roman" w:eastAsia="方正仿宋简体" w:cs="Times New Roman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Cs w:val="21"/>
          <w:shd w:val="clear" w:color="auto" w:fill="FFFFFF"/>
        </w:rPr>
        <w:t>Key words：（5号</w:t>
      </w:r>
      <w:r>
        <w:rPr>
          <w:rFonts w:hint="eastAsia" w:ascii="Times New Roman" w:hAnsi="Times New Roman" w:eastAsia="黑体" w:cs="Times New Roman"/>
          <w:b/>
          <w:bCs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Cs w:val="21"/>
          <w:shd w:val="clear" w:color="auto" w:fill="FFFFFF"/>
        </w:rPr>
        <w:t>加粗 ）</w:t>
      </w:r>
      <w:r>
        <w:rPr>
          <w:rFonts w:hint="eastAsia" w:ascii="Times New Roman" w:hAnsi="Times New Roman" w:eastAsia="黑体" w:cs="Times New Roman"/>
          <w:b/>
          <w:bCs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21"/>
          <w:shd w:val="clear" w:color="auto" w:fill="FFFFFF"/>
        </w:rPr>
        <w:t>□□□□□</w:t>
      </w:r>
      <w:r>
        <w:rPr>
          <w:rFonts w:hint="default" w:ascii="Times New Roman" w:hAnsi="Times New Roman" w:eastAsia="仿宋_GB2312" w:cs="Times New Roman"/>
          <w:szCs w:val="21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Cs w:val="21"/>
          <w:shd w:val="clear" w:color="auto" w:fill="FFFFFF"/>
        </w:rPr>
        <w:t>□□□□□；□□□□□；□□□□□；□□□□□（5号 ）</w:t>
      </w:r>
    </w:p>
    <w:p w14:paraId="3B79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/>
          <w:b/>
          <w:bCs/>
          <w:color w:val="FF000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lang w:eastAsia="zh-CN"/>
        </w:rPr>
        <w:t>以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lang w:val="en-US" w:eastAsia="zh-CN"/>
        </w:rPr>
        <w:t>下</w:t>
      </w:r>
      <w:r>
        <w:rPr>
          <w:rFonts w:hint="eastAsia" w:ascii="微软雅黑" w:hAnsi="微软雅黑" w:eastAsia="微软雅黑"/>
          <w:b/>
          <w:bCs/>
          <w:color w:val="FF0000"/>
          <w:sz w:val="24"/>
          <w:szCs w:val="24"/>
          <w:lang w:eastAsia="zh-CN"/>
        </w:rPr>
        <w:t>图片为英文部分的体例</w:t>
      </w:r>
    </w:p>
    <w:p w14:paraId="385E77D4">
      <w:pPr>
        <w:spacing w:line="360" w:lineRule="auto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drawing>
          <wp:inline distT="0" distB="0" distL="114300" distR="114300">
            <wp:extent cx="5267325" cy="2369820"/>
            <wp:effectExtent l="0" t="0" r="9525" b="11430"/>
            <wp:docPr id="1" name="图片 1" descr="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英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014C">
      <w:pPr>
        <w:spacing w:before="312" w:after="312"/>
        <w:jc w:val="left"/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</w:pPr>
      <w:r>
        <w:rPr>
          <w:rFonts w:ascii="微软雅黑" w:hAnsi="微软雅黑" w:eastAsia="微软雅黑"/>
          <w:b/>
          <w:bCs/>
          <w:color w:val="FF0000"/>
          <w:sz w:val="24"/>
          <w:szCs w:val="24"/>
        </w:rPr>
        <w:t>（注：在来稿末尾，应注明作者联系方式及样刊邮寄地址，以便于邮寄）</w:t>
      </w:r>
    </w:p>
    <w:p w14:paraId="376827F3">
      <w:pPr>
        <w:spacing w:line="360" w:lineRule="auto"/>
        <w:jc w:val="center"/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</w:pPr>
    </w:p>
    <w:p w14:paraId="5704E80C">
      <w:pPr>
        <w:spacing w:line="360" w:lineRule="auto"/>
        <w:jc w:val="center"/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</w:pPr>
    </w:p>
    <w:p w14:paraId="137A1E7A">
      <w:pPr>
        <w:spacing w:line="360" w:lineRule="auto"/>
        <w:jc w:val="center"/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</w:pPr>
    </w:p>
    <w:p w14:paraId="662656AF">
      <w:pPr>
        <w:spacing w:line="360" w:lineRule="auto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ascii="微软雅黑" w:hAnsi="微软雅黑" w:eastAsia="微软雅黑"/>
          <w:b/>
          <w:bCs/>
          <w:color w:val="FF0000"/>
          <w:sz w:val="44"/>
          <w:szCs w:val="44"/>
          <w:shd w:val="clear" w:color="auto" w:fill="FFFFFF"/>
        </w:rPr>
        <w:t>关于来稿样式的说明</w:t>
      </w:r>
    </w:p>
    <w:p w14:paraId="6BB80102">
      <w:pPr>
        <w:spacing w:before="312" w:after="312"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color w:val="333333"/>
          <w:sz w:val="24"/>
          <w:szCs w:val="24"/>
          <w:u w:val="single"/>
        </w:rPr>
        <w:t>为规范本刊论文格式，减轻编辑人员负担，请来稿者尤其注意以下关于论文格式的几点要求。</w:t>
      </w:r>
    </w:p>
    <w:p w14:paraId="73B9ADD1">
      <w:r>
        <w:rPr>
          <w:rFonts w:hint="eastAsia" w:ascii="宋体" w:hAnsi="宋体" w:eastAsia="宋体"/>
          <w:color w:val="333333"/>
          <w:lang w:val="en-US" w:eastAsia="zh-CN"/>
        </w:rPr>
        <w:t>1</w:t>
      </w:r>
      <w:r>
        <w:rPr>
          <w:rFonts w:ascii="宋体" w:hAnsi="宋体" w:eastAsia="宋体"/>
          <w:color w:val="333333"/>
        </w:rPr>
        <w:t>、摘要</w:t>
      </w:r>
      <w:r>
        <w:rPr>
          <w:color w:val="FF0000"/>
        </w:rPr>
        <w:t>　</w:t>
      </w:r>
    </w:p>
    <w:p w14:paraId="230AA987">
      <w:pPr>
        <w:ind w:firstLine="420" w:firstLineChars="200"/>
      </w:pPr>
      <w:r>
        <w:rPr>
          <w:color w:val="333333"/>
        </w:rPr>
        <w:t>摘要应具有独立性和自明性，并拥有与文献同等量的主要信息，即不需阅读全文，就可获得重要的信息（不能存在背景知识，如随着……）。要用第三人称的写法。应采用“对……进行了研究”、“报告了……现状”、“进行了……调查”等记述方法标明一次文献的性质和文献主题，不必使用“本文”、“作者”等作为主语。摘要以</w:t>
      </w:r>
      <w:r>
        <w:rPr>
          <w:rFonts w:ascii="宋体" w:hAnsi="宋体" w:eastAsia="宋体"/>
          <w:color w:val="333333"/>
        </w:rPr>
        <w:t>200</w:t>
      </w:r>
      <w:r>
        <w:rPr>
          <w:color w:val="333333"/>
        </w:rPr>
        <w:t>字左右为宜。</w:t>
      </w:r>
    </w:p>
    <w:p w14:paraId="2233F586">
      <w:pPr>
        <w:rPr>
          <w:rFonts w:hint="eastAsia" w:ascii="宋体" w:hAnsi="宋体" w:eastAsia="宋体"/>
          <w:color w:val="333333"/>
          <w:lang w:val="en-US" w:eastAsia="zh-CN"/>
        </w:rPr>
      </w:pPr>
    </w:p>
    <w:p w14:paraId="79A434B4">
      <w:pPr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  <w:lang w:val="en-US" w:eastAsia="zh-CN"/>
        </w:rPr>
        <w:t>2、关键词　</w:t>
      </w:r>
    </w:p>
    <w:p w14:paraId="738D5F08">
      <w:pPr>
        <w:ind w:firstLine="420" w:firstLineChars="200"/>
      </w:pPr>
      <w:r>
        <w:t>关键词是反映论文主要内容的名词性术语，一般每篇</w:t>
      </w:r>
      <w:r>
        <w:rPr>
          <w:rFonts w:ascii="ˎ̥" w:hAnsi="ˎ̥" w:eastAsia="ˎ̥"/>
        </w:rPr>
        <w:t>3</w:t>
      </w:r>
      <w:r>
        <w:t>～</w:t>
      </w:r>
      <w:r>
        <w:rPr>
          <w:rFonts w:hint="eastAsia" w:ascii="ˎ̥" w:hAnsi="ˎ̥" w:eastAsia="宋体"/>
          <w:lang w:val="en-US" w:eastAsia="zh-CN"/>
        </w:rPr>
        <w:t>5</w:t>
      </w:r>
      <w:r>
        <w:t>个，关键词之间用分号分隔。</w:t>
      </w:r>
    </w:p>
    <w:p w14:paraId="0834AF09">
      <w:pPr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 w:eastAsia="宋体"/>
          <w:color w:val="333333"/>
          <w:lang w:val="en-US" w:eastAsia="zh-CN"/>
        </w:rPr>
        <w:t>3、中图分类号</w:t>
      </w:r>
    </w:p>
    <w:p w14:paraId="7127DDE2">
      <w:pPr>
        <w:ind w:firstLine="420" w:firstLineChars="200"/>
      </w:pPr>
      <w:r>
        <w:t>为便于论文分类检索。本刊设中国图书分类法分类号。按《中国图书馆分类法》（第五版）标注，一般只标注一个，若一篇论文涉及多个学科，主分类号之后还可以标注1~3个学科相关学科的分类号。</w:t>
      </w:r>
      <w:r>
        <w:rPr>
          <w:color w:val="FF0000"/>
          <w:shd w:val="clear" w:color="auto" w:fill="FFFFFF"/>
        </w:rPr>
        <w:t>（中图分类号由作者自行填写，参见《中国图书馆图书分类法》(第五版)，可查询如下网站确定合适的分类号：</w:t>
      </w:r>
      <w:r>
        <w:rPr>
          <w:rFonts w:ascii="Times New Roman" w:hAnsi="Times New Roman" w:eastAsia="楷体" w:cs="Times New Roman"/>
          <w:color w:val="FF0000"/>
          <w:szCs w:val="21"/>
          <w:shd w:val="clear" w:color="auto" w:fill="FFFFFF"/>
        </w:rPr>
        <w:fldChar w:fldCharType="begin"/>
      </w:r>
      <w:r>
        <w:rPr>
          <w:rFonts w:ascii="Times New Roman" w:hAnsi="Times New Roman" w:eastAsia="楷体" w:cs="Times New Roman"/>
          <w:color w:val="FF0000"/>
          <w:szCs w:val="21"/>
          <w:shd w:val="clear" w:color="auto" w:fill="FFFFFF"/>
        </w:rPr>
        <w:instrText xml:space="preserve"> HYPERLINK "http://www.clcindex.com/category/" </w:instrText>
      </w:r>
      <w:r>
        <w:rPr>
          <w:rFonts w:ascii="Times New Roman" w:hAnsi="Times New Roman" w:eastAsia="楷体" w:cs="Times New Roman"/>
          <w:color w:val="FF0000"/>
          <w:szCs w:val="21"/>
          <w:shd w:val="clear" w:color="auto" w:fill="FFFFFF"/>
        </w:rPr>
        <w:fldChar w:fldCharType="separate"/>
      </w:r>
      <w:r>
        <w:rPr>
          <w:rStyle w:val="9"/>
          <w:rFonts w:ascii="Times New Roman" w:hAnsi="Times New Roman" w:eastAsia="楷体" w:cs="Times New Roman"/>
          <w:szCs w:val="21"/>
          <w:shd w:val="clear" w:color="auto" w:fill="FFFFFF"/>
        </w:rPr>
        <w:t>http://www.clcindex.com/category/</w:t>
      </w:r>
      <w:r>
        <w:rPr>
          <w:rFonts w:ascii="Times New Roman" w:hAnsi="Times New Roman" w:eastAsia="楷体" w:cs="Times New Roman"/>
          <w:color w:val="FF0000"/>
          <w:szCs w:val="21"/>
          <w:shd w:val="clear" w:color="auto" w:fill="FFFFFF"/>
        </w:rPr>
        <w:fldChar w:fldCharType="end"/>
      </w:r>
      <w:r>
        <w:rPr>
          <w:rFonts w:hint="eastAsia" w:ascii="Times New Roman" w:hAnsi="Times New Roman" w:eastAsia="楷体" w:cs="Times New Roman"/>
          <w:color w:val="FF0000"/>
          <w:szCs w:val="21"/>
          <w:shd w:val="clear" w:color="auto" w:fill="FFFFFF"/>
          <w:lang w:val="en-US" w:eastAsia="zh-CN"/>
        </w:rPr>
        <w:t xml:space="preserve"> </w:t>
      </w:r>
      <w:r>
        <w:rPr>
          <w:color w:val="FF0000"/>
          <w:shd w:val="clear" w:color="auto" w:fill="FFFFFF"/>
        </w:rPr>
        <w:t>或其他网站；文章编号由编辑部填写）</w:t>
      </w:r>
    </w:p>
    <w:p w14:paraId="057585C7">
      <w:pPr>
        <w:rPr>
          <w:kern w:val="0"/>
        </w:rPr>
      </w:pPr>
    </w:p>
    <w:p w14:paraId="59B537FD">
      <w:r>
        <w:rPr>
          <w:rFonts w:hint="eastAsia"/>
          <w:kern w:val="0"/>
          <w:lang w:val="en-US" w:eastAsia="zh-CN"/>
        </w:rPr>
        <w:t>4、</w:t>
      </w:r>
      <w:r>
        <w:rPr>
          <w:kern w:val="0"/>
        </w:rPr>
        <w:t>参考文献在文中的标引格式</w:t>
      </w:r>
    </w:p>
    <w:p w14:paraId="3BE92121">
      <w:pPr>
        <w:rPr>
          <w:color w:val="FF0000"/>
          <w:kern w:val="0"/>
        </w:rPr>
      </w:pPr>
      <w:r>
        <w:rPr>
          <w:kern w:val="0"/>
        </w:rPr>
        <w:t>　　</w:t>
      </w:r>
      <w:r>
        <w:rPr>
          <w:rFonts w:hint="eastAsia"/>
          <w:color w:val="FF0000"/>
          <w:kern w:val="0"/>
        </w:rPr>
        <w:t>同一文献只用一个序号，正文中重复使用。若文献是专著，被重复引用的话，正文中每次引用后加页码（若专著只被引用一次，则在文献后加页码）；若文献是期刊，正文中每次引用，只用序号即可（不加页码）。</w:t>
      </w:r>
    </w:p>
    <w:p w14:paraId="1ED9B5AA">
      <w:r>
        <w:rPr>
          <w:rFonts w:ascii="黑体" w:hAnsi="黑体" w:eastAsia="黑体"/>
        </w:rPr>
        <w:t>　</w:t>
      </w:r>
      <w:r>
        <w:rPr>
          <w:rFonts w:ascii="宋体" w:hAnsi="宋体" w:eastAsia="宋体"/>
          <w:color w:val="333333"/>
        </w:rPr>
        <w:t>6、不符合上述规范和要求的稿件，一般不进入审稿程序，请予配合。</w:t>
      </w:r>
    </w:p>
    <w:p w14:paraId="0569DC62">
      <w:pPr>
        <w:rPr>
          <w:szCs w:val="21"/>
        </w:rPr>
      </w:pPr>
    </w:p>
    <w:p w14:paraId="4C15E5C0">
      <w:pPr>
        <w:jc w:val="center"/>
        <w:rPr>
          <w:sz w:val="28"/>
          <w:szCs w:val="28"/>
        </w:rPr>
      </w:pPr>
      <w:r>
        <w:rPr>
          <w:sz w:val="28"/>
          <w:szCs w:val="28"/>
        </w:rPr>
        <w:t>敬告作者</w:t>
      </w:r>
    </w:p>
    <w:p w14:paraId="2D4FA83B">
      <w:pPr>
        <w:ind w:firstLine="420" w:firstLineChars="200"/>
      </w:pPr>
      <w:r>
        <w:t>经中国知网授权，我刊已启用中国知网</w:t>
      </w:r>
      <w:r>
        <w:rPr>
          <w:rFonts w:hint="eastAsia"/>
          <w:lang w:eastAsia="zh-CN"/>
        </w:rPr>
        <w:t>“</w:t>
      </w:r>
      <w:r>
        <w:t>学术不端行为检测系统</w:t>
      </w:r>
      <w:r>
        <w:rPr>
          <w:rFonts w:hint="eastAsia"/>
          <w:lang w:eastAsia="zh-CN"/>
        </w:rPr>
        <w:t>”</w:t>
      </w:r>
      <w:r>
        <w:t>，对所有来稿在初审时均进行学术不端行为检测，凡文字复制比超过</w:t>
      </w:r>
      <w:r>
        <w:rPr>
          <w:rFonts w:ascii="Calibri" w:hAnsi="Calibri" w:eastAsia="Calibri"/>
        </w:rPr>
        <w:t>15%</w:t>
      </w:r>
      <w:r>
        <w:t>（含</w:t>
      </w:r>
      <w:r>
        <w:rPr>
          <w:rFonts w:ascii="Calibri" w:hAnsi="Calibri" w:eastAsia="Calibri"/>
        </w:rPr>
        <w:t>15%</w:t>
      </w:r>
      <w:r>
        <w:t>）的稿件一律退稿。文章发表后进入相关数据库复检时，文字复制比超过</w:t>
      </w:r>
      <w:r>
        <w:rPr>
          <w:rFonts w:ascii="Calibri" w:hAnsi="Calibri" w:eastAsia="Calibri"/>
        </w:rPr>
        <w:t>15%</w:t>
      </w:r>
      <w:r>
        <w:t>的一律不进入数据库</w:t>
      </w:r>
      <w:bookmarkStart w:id="0" w:name="_GoBack"/>
      <w:bookmarkEnd w:id="0"/>
      <w:r>
        <w:t>，对已进入数据库的一律删除，且发表费用不退。科研诚信是每一位科技工作者基本的职业操守，寄望各位作者坚持职业操守，诚信投稿，谢谢合作！</w:t>
      </w:r>
    </w:p>
    <w:p w14:paraId="451008F1">
      <w:r>
        <w:rPr>
          <w:rFonts w:hint="eastAsia"/>
        </w:rPr>
        <w:t xml:space="preserve">                                                 </w:t>
      </w:r>
    </w:p>
    <w:p w14:paraId="20576B0F">
      <w:r>
        <w:rPr>
          <w:rFonts w:hint="eastAsia"/>
        </w:rPr>
        <w:t xml:space="preserve">                                                   </w:t>
      </w:r>
      <w:r>
        <w:t>《宿州教育学院学报》编辑部</w:t>
      </w:r>
    </w:p>
    <w:p w14:paraId="3ED6DA36">
      <w:pPr>
        <w:rPr>
          <w:szCs w:val="21"/>
        </w:rPr>
      </w:pPr>
    </w:p>
    <w:sectPr>
      <w:headerReference r:id="rId3" w:type="default"/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3E3D4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000321A8"/>
    <w:rsid w:val="0009469D"/>
    <w:rsid w:val="000C51B7"/>
    <w:rsid w:val="000E53F7"/>
    <w:rsid w:val="000F30CA"/>
    <w:rsid w:val="00132266"/>
    <w:rsid w:val="00216EB9"/>
    <w:rsid w:val="0024381A"/>
    <w:rsid w:val="003011EE"/>
    <w:rsid w:val="003030BE"/>
    <w:rsid w:val="00312234"/>
    <w:rsid w:val="003D2624"/>
    <w:rsid w:val="00427A08"/>
    <w:rsid w:val="00514283"/>
    <w:rsid w:val="005928EA"/>
    <w:rsid w:val="0059531B"/>
    <w:rsid w:val="00605BF2"/>
    <w:rsid w:val="00616505"/>
    <w:rsid w:val="0062213C"/>
    <w:rsid w:val="00633F40"/>
    <w:rsid w:val="006432A2"/>
    <w:rsid w:val="006549AD"/>
    <w:rsid w:val="00684D9C"/>
    <w:rsid w:val="006B4FE1"/>
    <w:rsid w:val="00745F5C"/>
    <w:rsid w:val="007E50D4"/>
    <w:rsid w:val="00850994"/>
    <w:rsid w:val="00895DFF"/>
    <w:rsid w:val="008D7063"/>
    <w:rsid w:val="008E3BF7"/>
    <w:rsid w:val="00A333E7"/>
    <w:rsid w:val="00A60633"/>
    <w:rsid w:val="00A64B99"/>
    <w:rsid w:val="00A74692"/>
    <w:rsid w:val="00B175E9"/>
    <w:rsid w:val="00B60B46"/>
    <w:rsid w:val="00BA0201"/>
    <w:rsid w:val="00BA0C1A"/>
    <w:rsid w:val="00BE6E62"/>
    <w:rsid w:val="00C061CB"/>
    <w:rsid w:val="00C356C2"/>
    <w:rsid w:val="00C604EC"/>
    <w:rsid w:val="00C721E8"/>
    <w:rsid w:val="00D2121A"/>
    <w:rsid w:val="00D24169"/>
    <w:rsid w:val="00D252B1"/>
    <w:rsid w:val="00D93C81"/>
    <w:rsid w:val="00DA248E"/>
    <w:rsid w:val="00DA43EC"/>
    <w:rsid w:val="00E26251"/>
    <w:rsid w:val="00E71680"/>
    <w:rsid w:val="00E76E19"/>
    <w:rsid w:val="00EA1EE8"/>
    <w:rsid w:val="00ED5C5A"/>
    <w:rsid w:val="00F06624"/>
    <w:rsid w:val="00F1056D"/>
    <w:rsid w:val="00F53662"/>
    <w:rsid w:val="00FF2423"/>
    <w:rsid w:val="011C35D4"/>
    <w:rsid w:val="01CE57B8"/>
    <w:rsid w:val="02306473"/>
    <w:rsid w:val="02843F10"/>
    <w:rsid w:val="03795BF7"/>
    <w:rsid w:val="057E0BF3"/>
    <w:rsid w:val="06616627"/>
    <w:rsid w:val="06C07699"/>
    <w:rsid w:val="083D07F0"/>
    <w:rsid w:val="08B530A5"/>
    <w:rsid w:val="0A391C3C"/>
    <w:rsid w:val="0B420FC5"/>
    <w:rsid w:val="0C324C89"/>
    <w:rsid w:val="0DDB0E04"/>
    <w:rsid w:val="0EEB5945"/>
    <w:rsid w:val="0F7479F1"/>
    <w:rsid w:val="105E3B74"/>
    <w:rsid w:val="10E55BA5"/>
    <w:rsid w:val="11052878"/>
    <w:rsid w:val="113669C1"/>
    <w:rsid w:val="12EC2DF8"/>
    <w:rsid w:val="141705C1"/>
    <w:rsid w:val="162B4B2F"/>
    <w:rsid w:val="17B40B54"/>
    <w:rsid w:val="17D24B99"/>
    <w:rsid w:val="185145F5"/>
    <w:rsid w:val="18DC4EA1"/>
    <w:rsid w:val="1A601862"/>
    <w:rsid w:val="1AB95A25"/>
    <w:rsid w:val="1C2C4424"/>
    <w:rsid w:val="1CD54CE6"/>
    <w:rsid w:val="1DB63878"/>
    <w:rsid w:val="1DEC38DC"/>
    <w:rsid w:val="1EF1268E"/>
    <w:rsid w:val="20ED5AFF"/>
    <w:rsid w:val="217B0AAC"/>
    <w:rsid w:val="24E707BB"/>
    <w:rsid w:val="24F732AC"/>
    <w:rsid w:val="27A42993"/>
    <w:rsid w:val="28F04566"/>
    <w:rsid w:val="291B4ED7"/>
    <w:rsid w:val="29C1213D"/>
    <w:rsid w:val="29F40A3B"/>
    <w:rsid w:val="2B756050"/>
    <w:rsid w:val="2C062794"/>
    <w:rsid w:val="2C3562B0"/>
    <w:rsid w:val="2C3A3B04"/>
    <w:rsid w:val="2E5B5955"/>
    <w:rsid w:val="2F3B0500"/>
    <w:rsid w:val="30456175"/>
    <w:rsid w:val="31065F1D"/>
    <w:rsid w:val="328E671A"/>
    <w:rsid w:val="344E43B3"/>
    <w:rsid w:val="36772279"/>
    <w:rsid w:val="372722E6"/>
    <w:rsid w:val="37751B55"/>
    <w:rsid w:val="384662FD"/>
    <w:rsid w:val="39863FC6"/>
    <w:rsid w:val="3AC569B3"/>
    <w:rsid w:val="3B3E433A"/>
    <w:rsid w:val="3BE55275"/>
    <w:rsid w:val="3D167071"/>
    <w:rsid w:val="42504C65"/>
    <w:rsid w:val="434067C1"/>
    <w:rsid w:val="43693F2F"/>
    <w:rsid w:val="44183759"/>
    <w:rsid w:val="45E32481"/>
    <w:rsid w:val="46B55A81"/>
    <w:rsid w:val="472D76AD"/>
    <w:rsid w:val="473F7B8B"/>
    <w:rsid w:val="474A7F32"/>
    <w:rsid w:val="47B73BC5"/>
    <w:rsid w:val="4AC329CD"/>
    <w:rsid w:val="4BCE72F6"/>
    <w:rsid w:val="4CD81041"/>
    <w:rsid w:val="4E5A52AA"/>
    <w:rsid w:val="50D03E52"/>
    <w:rsid w:val="528E3B30"/>
    <w:rsid w:val="53201555"/>
    <w:rsid w:val="53FE2BF7"/>
    <w:rsid w:val="563D58D1"/>
    <w:rsid w:val="568D20C3"/>
    <w:rsid w:val="5954161D"/>
    <w:rsid w:val="5B0B62AA"/>
    <w:rsid w:val="5B45763D"/>
    <w:rsid w:val="5C1E7FA5"/>
    <w:rsid w:val="5C70751C"/>
    <w:rsid w:val="5CE42D26"/>
    <w:rsid w:val="5D7A3273"/>
    <w:rsid w:val="5DA529FB"/>
    <w:rsid w:val="62166FB9"/>
    <w:rsid w:val="64C179D9"/>
    <w:rsid w:val="66987B9D"/>
    <w:rsid w:val="67137614"/>
    <w:rsid w:val="6828189F"/>
    <w:rsid w:val="6EAF13B0"/>
    <w:rsid w:val="6EC35CBF"/>
    <w:rsid w:val="6EF67791"/>
    <w:rsid w:val="70DB1388"/>
    <w:rsid w:val="71061E72"/>
    <w:rsid w:val="72603AE2"/>
    <w:rsid w:val="727A13A4"/>
    <w:rsid w:val="762864A6"/>
    <w:rsid w:val="769C642A"/>
    <w:rsid w:val="76BA19AC"/>
    <w:rsid w:val="76EE5674"/>
    <w:rsid w:val="777A4144"/>
    <w:rsid w:val="77A613DD"/>
    <w:rsid w:val="77BA4E88"/>
    <w:rsid w:val="7A3B2499"/>
    <w:rsid w:val="7F2D1E35"/>
    <w:rsid w:val="7FD75C1F"/>
    <w:rsid w:val="7FE846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3196</Words>
  <Characters>3823</Characters>
  <Lines>28</Lines>
  <Paragraphs>8</Paragraphs>
  <TotalTime>1</TotalTime>
  <ScaleCrop>false</ScaleCrop>
  <LinksUpToDate>false</LinksUpToDate>
  <CharactersWithSpaces>4024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2019-11-20T00:35:00Z</dcterms:created>
  <dc:creator>Tencent</dc:creator>
  <cp:lastModifiedBy>AD</cp:lastModifiedBy>
  <dcterms:modified xsi:type="dcterms:W3CDTF">2025-04-23T09:17:39Z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eyJoZGlkIjoiOGM0NDM1MzM2YThmOGQ2OTNkYjNiNjk5MjkwMjc5N2IiLCJ1c2VySWQiOiI0NTQzMDk2MTEifQ==</vt:lpwstr>
  </property>
  <property fmtid="{D5CDD505-2E9C-101B-9397-08002B2CF9AE}" pid="4" name="ICV">
    <vt:lpwstr>E40B5A0D5F6A4DD3A95F2C66B1CFC6C8_12</vt:lpwstr>
  </property>
</Properties>
</file>