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79E3C3">
      <w:pPr>
        <w:pStyle w:val="2"/>
        <w:keepNext w:val="0"/>
        <w:keepLines w:val="0"/>
        <w:pageBreakBefore/>
        <w:spacing w:before="0" w:after="0" w:line="360" w:lineRule="auto"/>
        <w:contextualSpacing/>
        <w:jc w:val="center"/>
        <w:rPr>
          <w:rFonts w:ascii="宋体" w:hAnsi="宋体" w:eastAsia="宋体" w:cs="仿宋"/>
          <w:b/>
          <w:bCs/>
          <w:sz w:val="32"/>
          <w:szCs w:val="32"/>
        </w:rPr>
      </w:pPr>
      <w:r>
        <w:rPr>
          <w:rFonts w:hint="eastAsia" w:ascii="宋体" w:hAnsi="宋体" w:eastAsia="宋体" w:cs="仿宋"/>
          <w:b/>
          <w:bCs/>
          <w:sz w:val="32"/>
          <w:szCs w:val="32"/>
          <w:lang w:val="en-US" w:eastAsia="zh-CN"/>
        </w:rPr>
        <w:t>一</w:t>
      </w:r>
      <w:r>
        <w:rPr>
          <w:rFonts w:hint="eastAsia" w:ascii="宋体" w:hAnsi="宋体" w:eastAsia="宋体" w:cs="仿宋"/>
          <w:b/>
          <w:bCs/>
          <w:sz w:val="32"/>
          <w:szCs w:val="32"/>
        </w:rPr>
        <w:t>、采购需求</w:t>
      </w:r>
    </w:p>
    <w:p w14:paraId="4037521A">
      <w:pPr>
        <w:widowControl/>
        <w:shd w:val="clear" w:color="auto" w:fill="FFFFFF"/>
        <w:spacing w:line="495" w:lineRule="atLeast"/>
        <w:jc w:val="left"/>
        <w:outlineLvl w:val="1"/>
        <w:rPr>
          <w:rFonts w:hint="default" w:ascii="宋体" w:hAnsi="宋体" w:eastAsia="宋体" w:cs="宋体"/>
          <w:b/>
          <w:color w:val="000000"/>
          <w:kern w:val="0"/>
          <w:szCs w:val="32"/>
          <w:shd w:val="clear" w:color="auto" w:fill="FFFFFF"/>
        </w:rPr>
      </w:pPr>
      <w:bookmarkStart w:id="0" w:name="_Toc53217151"/>
      <w:r>
        <w:rPr>
          <w:rFonts w:ascii="宋体" w:hAnsi="宋体" w:eastAsia="宋体" w:cs="Arial"/>
          <w:b/>
          <w:kern w:val="0"/>
          <w:szCs w:val="32"/>
        </w:rPr>
        <w:t>1、项目概况</w:t>
      </w:r>
      <w:bookmarkEnd w:id="0"/>
    </w:p>
    <w:p w14:paraId="096869BA">
      <w:pPr>
        <w:spacing w:after="156" w:afterLines="50" w:line="360" w:lineRule="auto"/>
        <w:ind w:firstLine="420" w:firstLineChars="0"/>
        <w:rPr>
          <w:rFonts w:ascii="宋体" w:hAnsi="宋体" w:eastAsia="宋体" w:cs="Arial"/>
          <w:kern w:val="0"/>
          <w:sz w:val="24"/>
        </w:rPr>
      </w:pPr>
      <w:bookmarkStart w:id="1" w:name="_Toc53217152"/>
      <w:r>
        <w:rPr>
          <w:rFonts w:hint="eastAsia" w:ascii="宋体" w:hAnsi="宋体" w:eastAsia="宋体" w:cs="Arial"/>
          <w:kern w:val="0"/>
          <w:sz w:val="24"/>
        </w:rPr>
        <w:t>依据《中华人民共和国网络安全法》、《信息安全等级保护管理办法》等相关法律法规要求，拟对宿州职业技术学院访客系统（以下简称：访客系统）开展网络安全等级保护二级测评服务。</w:t>
      </w:r>
    </w:p>
    <w:p w14:paraId="75D026A6">
      <w:pPr>
        <w:spacing w:after="156" w:afterLines="50" w:line="360" w:lineRule="auto"/>
        <w:ind w:firstLine="420" w:firstLineChars="0"/>
        <w:rPr>
          <w:rFonts w:ascii="宋体" w:hAnsi="宋体" w:eastAsia="宋体" w:cs="Arial"/>
          <w:kern w:val="0"/>
          <w:sz w:val="24"/>
        </w:rPr>
      </w:pPr>
      <w:r>
        <w:rPr>
          <w:rFonts w:hint="eastAsia" w:ascii="宋体" w:hAnsi="宋体" w:eastAsia="宋体" w:cs="Arial"/>
          <w:kern w:val="0"/>
          <w:sz w:val="24"/>
        </w:rPr>
        <w:t>访客系统是一款数字化工具，它管理和记录进入学院的访客信息。通过填写访客、被访人员信息以及访问时间，反馈通行二维码，访客扫描二维码即可进入校园，简化了外单位人员进出校园流程，同时详细的记录来访人员信息，提升了管理效率以及来访的安全性。</w:t>
      </w:r>
    </w:p>
    <w:p w14:paraId="56787EB0">
      <w:pPr>
        <w:spacing w:after="156" w:afterLines="50" w:line="360" w:lineRule="auto"/>
        <w:ind w:firstLine="420" w:firstLineChars="0"/>
        <w:rPr>
          <w:rFonts w:ascii="宋体" w:hAnsi="宋体" w:eastAsia="宋体" w:cs="Arial"/>
          <w:kern w:val="0"/>
          <w:sz w:val="24"/>
        </w:rPr>
      </w:pPr>
      <w:r>
        <w:rPr>
          <w:rFonts w:hint="eastAsia" w:ascii="宋体" w:hAnsi="宋体" w:eastAsia="宋体" w:cs="Arial"/>
          <w:kern w:val="0"/>
          <w:sz w:val="24"/>
        </w:rPr>
        <w:t>本次网络安全等级保护测评服务内容包括：安全技术测评，安全管理测评，工具测试，编制系统安全整改方案，编制测评报告。</w:t>
      </w:r>
    </w:p>
    <w:p w14:paraId="18362335">
      <w:pPr>
        <w:widowControl/>
        <w:shd w:val="clear" w:color="auto" w:fill="FFFFFF"/>
        <w:spacing w:line="495" w:lineRule="atLeast"/>
        <w:jc w:val="left"/>
        <w:outlineLvl w:val="1"/>
        <w:rPr>
          <w:rFonts w:hint="default" w:ascii="宋体" w:hAnsi="宋体" w:eastAsia="宋体" w:cs="Arial"/>
          <w:b/>
          <w:kern w:val="0"/>
          <w:szCs w:val="32"/>
        </w:rPr>
      </w:pPr>
      <w:r>
        <w:rPr>
          <w:rFonts w:ascii="宋体" w:hAnsi="宋体" w:eastAsia="宋体" w:cs="Arial"/>
          <w:b/>
          <w:kern w:val="0"/>
          <w:szCs w:val="32"/>
        </w:rPr>
        <w:t>2、项目实施范围</w:t>
      </w:r>
      <w:bookmarkEnd w:id="1"/>
    </w:p>
    <w:p w14:paraId="745BD693">
      <w:pPr>
        <w:spacing w:after="156" w:afterLines="50" w:line="360" w:lineRule="auto"/>
        <w:rPr>
          <w:rFonts w:hint="default" w:ascii="宋体" w:hAnsi="宋体" w:eastAsia="宋体" w:cs="Arial"/>
          <w:kern w:val="0"/>
          <w:sz w:val="24"/>
        </w:rPr>
      </w:pPr>
      <w:r>
        <w:rPr>
          <w:rFonts w:ascii="宋体" w:hAnsi="宋体" w:eastAsia="宋体" w:cs="Arial"/>
          <w:kern w:val="0"/>
          <w:sz w:val="24"/>
        </w:rPr>
        <w:t>本次参于网络安全等级保护测评的系统如下：</w:t>
      </w:r>
    </w:p>
    <w:tbl>
      <w:tblPr>
        <w:tblStyle w:val="9"/>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6"/>
        <w:gridCol w:w="3885"/>
        <w:gridCol w:w="1948"/>
        <w:gridCol w:w="2023"/>
      </w:tblGrid>
      <w:tr w14:paraId="42748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shd w:val="clear" w:color="000000" w:fill="F2F2F2"/>
          </w:tcPr>
          <w:p w14:paraId="24AAFAAF">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序号</w:t>
            </w:r>
          </w:p>
        </w:tc>
        <w:tc>
          <w:tcPr>
            <w:tcW w:w="3885" w:type="dxa"/>
            <w:shd w:val="clear" w:color="000000" w:fill="F2F2F2"/>
          </w:tcPr>
          <w:p w14:paraId="1ED8B4D9">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待测系统名称</w:t>
            </w:r>
          </w:p>
        </w:tc>
        <w:tc>
          <w:tcPr>
            <w:tcW w:w="1948" w:type="dxa"/>
            <w:shd w:val="clear" w:color="000000" w:fill="F2F2F2"/>
          </w:tcPr>
          <w:p w14:paraId="4721984B">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安全保护等级</w:t>
            </w:r>
          </w:p>
        </w:tc>
        <w:tc>
          <w:tcPr>
            <w:tcW w:w="2023" w:type="dxa"/>
            <w:shd w:val="clear" w:color="000000" w:fill="F2F2F2"/>
          </w:tcPr>
          <w:p w14:paraId="60327EB5">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备注</w:t>
            </w:r>
          </w:p>
        </w:tc>
      </w:tr>
      <w:tr w14:paraId="4956B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216" w:type="dxa"/>
            <w:shd w:val="clear" w:color="auto" w:fill="auto"/>
          </w:tcPr>
          <w:p w14:paraId="7CDD8F73">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1</w:t>
            </w:r>
          </w:p>
        </w:tc>
        <w:tc>
          <w:tcPr>
            <w:tcW w:w="3885" w:type="dxa"/>
            <w:shd w:val="clear" w:color="auto" w:fill="auto"/>
          </w:tcPr>
          <w:p w14:paraId="3D54B5DE">
            <w:pPr>
              <w:widowControl/>
              <w:spacing w:line="360" w:lineRule="auto"/>
              <w:contextualSpacing/>
              <w:jc w:val="center"/>
              <w:rPr>
                <w:rFonts w:hint="default"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访客管理系统</w:t>
            </w:r>
          </w:p>
        </w:tc>
        <w:tc>
          <w:tcPr>
            <w:tcW w:w="1948" w:type="dxa"/>
            <w:shd w:val="clear" w:color="auto" w:fill="auto"/>
          </w:tcPr>
          <w:p w14:paraId="2E7253BC">
            <w:pPr>
              <w:widowControl/>
              <w:spacing w:line="360" w:lineRule="auto"/>
              <w:contextualSpacing/>
              <w:jc w:val="center"/>
              <w:rPr>
                <w:rFonts w:hint="default" w:ascii="宋体" w:hAnsi="宋体" w:eastAsia="宋体" w:cs="宋体"/>
                <w:color w:val="000000"/>
                <w:kern w:val="0"/>
                <w:sz w:val="24"/>
                <w:szCs w:val="24"/>
              </w:rPr>
            </w:pPr>
            <w:r>
              <w:rPr>
                <w:rFonts w:ascii="宋体" w:hAnsi="宋体" w:eastAsia="宋体" w:cs="宋体"/>
                <w:color w:val="000000"/>
                <w:kern w:val="0"/>
                <w:sz w:val="24"/>
                <w:szCs w:val="24"/>
              </w:rPr>
              <w:t>二级</w:t>
            </w:r>
          </w:p>
        </w:tc>
        <w:tc>
          <w:tcPr>
            <w:tcW w:w="2023" w:type="dxa"/>
            <w:shd w:val="clear" w:color="auto" w:fill="auto"/>
          </w:tcPr>
          <w:p w14:paraId="7E187F49">
            <w:pPr>
              <w:widowControl/>
              <w:spacing w:line="360" w:lineRule="auto"/>
              <w:contextualSpacing/>
              <w:jc w:val="center"/>
              <w:rPr>
                <w:rFonts w:hint="default" w:ascii="宋体" w:hAnsi="宋体" w:eastAsia="宋体" w:cs="宋体"/>
                <w:color w:val="000000"/>
                <w:kern w:val="0"/>
                <w:sz w:val="24"/>
                <w:szCs w:val="24"/>
              </w:rPr>
            </w:pPr>
          </w:p>
        </w:tc>
      </w:tr>
    </w:tbl>
    <w:p w14:paraId="595827E5">
      <w:pPr>
        <w:widowControl/>
        <w:shd w:val="clear" w:color="auto" w:fill="FFFFFF"/>
        <w:tabs>
          <w:tab w:val="left" w:pos="4650"/>
        </w:tabs>
        <w:spacing w:before="240" w:after="120" w:line="480" w:lineRule="atLeast"/>
        <w:jc w:val="left"/>
        <w:outlineLvl w:val="1"/>
        <w:rPr>
          <w:rFonts w:hint="default" w:ascii="宋体" w:hAnsi="宋体" w:eastAsia="宋体" w:cs="Arial"/>
          <w:b/>
          <w:kern w:val="0"/>
          <w:szCs w:val="32"/>
        </w:rPr>
      </w:pPr>
      <w:bookmarkStart w:id="2" w:name="_Toc53217153"/>
      <w:r>
        <w:rPr>
          <w:rFonts w:ascii="宋体" w:hAnsi="宋体" w:eastAsia="宋体" w:cs="Arial"/>
          <w:b/>
          <w:kern w:val="0"/>
          <w:szCs w:val="32"/>
        </w:rPr>
        <w:t>3、指导思想和基本准则</w:t>
      </w:r>
      <w:bookmarkEnd w:id="2"/>
      <w:r>
        <w:rPr>
          <w:rFonts w:hint="default" w:ascii="宋体" w:hAnsi="宋体" w:eastAsia="宋体" w:cs="Arial"/>
          <w:b/>
          <w:kern w:val="0"/>
          <w:szCs w:val="32"/>
        </w:rPr>
        <w:tab/>
      </w:r>
    </w:p>
    <w:p w14:paraId="5C75B223">
      <w:pPr>
        <w:pStyle w:val="15"/>
        <w:spacing w:line="360" w:lineRule="auto"/>
        <w:ind w:firstLine="480" w:firstLineChars="200"/>
        <w:rPr>
          <w:rFonts w:hAnsi="宋体" w:cs="Arial"/>
          <w:color w:val="auto"/>
          <w:kern w:val="2"/>
        </w:rPr>
      </w:pPr>
      <w:r>
        <w:rPr>
          <w:rFonts w:hint="eastAsia" w:hAnsi="宋体" w:cs="Arial"/>
          <w:color w:val="auto"/>
          <w:kern w:val="2"/>
        </w:rPr>
        <w:t>根据公安部、国家保密局、国家密码管理局、国信办联合印发的《信息安全等级保护管理办法》（公通字〔2007〕43号）、《关于信息安全等级保护工作的实施意见》（公通字〔2004〕66号）、《关于开展全国重要信息系统安全等级保护定级工作的通知》（公信安〔2007〕861 号）、公安部《关于开展信息安全等级保护安全建设整改工作的指导意见》（公信安[2009]1429号）等文件精神，结合</w:t>
      </w:r>
      <w:r>
        <w:rPr>
          <w:rFonts w:hAnsi="宋体" w:cs="Arial"/>
          <w:color w:val="auto"/>
          <w:kern w:val="2"/>
        </w:rPr>
        <w:t>宿州职业技术学院</w:t>
      </w:r>
      <w:r>
        <w:rPr>
          <w:rFonts w:hint="eastAsia" w:hAnsi="宋体" w:cs="Arial"/>
          <w:color w:val="auto"/>
          <w:kern w:val="2"/>
        </w:rPr>
        <w:t>工作实际，现拟对智慧校园基础平台及其应用实施网络安全等级保护测评，以进一步完善信息系统安全管理体系和技术防护体系，切实提高系统信息安全防护能力。</w:t>
      </w:r>
      <w:r>
        <w:rPr>
          <w:rFonts w:hAnsi="宋体" w:cs="Arial"/>
          <w:color w:val="auto"/>
          <w:kern w:val="2"/>
        </w:rPr>
        <w:t xml:space="preserve"> </w:t>
      </w:r>
    </w:p>
    <w:p w14:paraId="3C370246">
      <w:pPr>
        <w:widowControl/>
        <w:shd w:val="clear" w:color="auto" w:fill="FFFFFF"/>
        <w:spacing w:before="240" w:after="120" w:line="480" w:lineRule="atLeast"/>
        <w:jc w:val="left"/>
        <w:outlineLvl w:val="1"/>
        <w:rPr>
          <w:rFonts w:hint="default" w:ascii="宋体" w:hAnsi="宋体" w:eastAsia="宋体" w:cs="Arial"/>
          <w:b/>
          <w:kern w:val="0"/>
          <w:szCs w:val="32"/>
        </w:rPr>
      </w:pPr>
      <w:bookmarkStart w:id="3" w:name="_Toc53217154"/>
      <w:r>
        <w:rPr>
          <w:rFonts w:ascii="宋体" w:hAnsi="宋体" w:eastAsia="宋体" w:cs="Arial"/>
          <w:b/>
          <w:kern w:val="0"/>
          <w:szCs w:val="32"/>
        </w:rPr>
        <w:t>4、等级保护测评主要包括以下几个方面：</w:t>
      </w:r>
      <w:bookmarkEnd w:id="3"/>
    </w:p>
    <w:p w14:paraId="79C4AF34">
      <w:pPr>
        <w:pStyle w:val="3"/>
        <w:numPr>
          <w:ilvl w:val="0"/>
          <w:numId w:val="1"/>
        </w:numPr>
        <w:spacing w:before="240" w:after="120" w:line="360" w:lineRule="auto"/>
        <w:ind w:left="0" w:firstLine="482" w:firstLineChars="200"/>
        <w:rPr>
          <w:rFonts w:ascii="宋体" w:hAnsi="宋体"/>
          <w:b/>
          <w:sz w:val="24"/>
          <w:szCs w:val="24"/>
        </w:rPr>
      </w:pPr>
      <w:bookmarkStart w:id="4" w:name="_Toc46177951"/>
      <w:bookmarkStart w:id="5" w:name="_Hlk35596349"/>
      <w:r>
        <w:rPr>
          <w:rFonts w:hint="eastAsia" w:ascii="宋体" w:hAnsi="宋体"/>
          <w:b/>
          <w:sz w:val="24"/>
          <w:szCs w:val="24"/>
        </w:rPr>
        <w:t>等保测评：</w:t>
      </w:r>
      <w:r>
        <w:rPr>
          <w:rFonts w:hint="eastAsia" w:ascii="宋体" w:hAnsi="宋体"/>
          <w:bCs/>
          <w:sz w:val="24"/>
          <w:szCs w:val="24"/>
        </w:rPr>
        <w:t>完成包括安全物理环境、安全计算环境、安全区域边界、安全通信网络、安全管理中心和安全管理机构、安全管理制度、安全管理人员、安全建设管理和安全运维管理方面的测评工作；</w:t>
      </w:r>
      <w:bookmarkEnd w:id="4"/>
    </w:p>
    <w:p w14:paraId="327AC261">
      <w:pPr>
        <w:pStyle w:val="3"/>
        <w:numPr>
          <w:ilvl w:val="0"/>
          <w:numId w:val="1"/>
        </w:numPr>
        <w:spacing w:before="240" w:after="120" w:line="360" w:lineRule="auto"/>
        <w:ind w:left="0" w:firstLine="482" w:firstLineChars="200"/>
        <w:rPr>
          <w:rFonts w:ascii="宋体" w:hAnsi="宋体"/>
          <w:b/>
          <w:sz w:val="24"/>
          <w:szCs w:val="24"/>
        </w:rPr>
      </w:pPr>
      <w:bookmarkStart w:id="6" w:name="_Toc46177952"/>
      <w:r>
        <w:rPr>
          <w:rFonts w:hint="eastAsia" w:ascii="宋体" w:hAnsi="宋体"/>
          <w:b/>
          <w:sz w:val="24"/>
          <w:szCs w:val="24"/>
        </w:rPr>
        <w:t>工具测试：</w:t>
      </w:r>
      <w:r>
        <w:rPr>
          <w:rFonts w:hint="eastAsia" w:ascii="宋体" w:hAnsi="宋体"/>
          <w:bCs/>
          <w:sz w:val="24"/>
          <w:szCs w:val="24"/>
        </w:rPr>
        <w:t>针对重要信息系统进行漏洞扫描、渗透测试等安全服务工作；</w:t>
      </w:r>
      <w:bookmarkEnd w:id="6"/>
    </w:p>
    <w:p w14:paraId="1E809DE8">
      <w:pPr>
        <w:pStyle w:val="3"/>
        <w:numPr>
          <w:ilvl w:val="0"/>
          <w:numId w:val="1"/>
        </w:numPr>
        <w:spacing w:before="240" w:after="120" w:line="360" w:lineRule="auto"/>
        <w:ind w:left="0" w:firstLine="482" w:firstLineChars="200"/>
        <w:rPr>
          <w:rFonts w:ascii="宋体" w:hAnsi="宋体"/>
          <w:b/>
          <w:sz w:val="24"/>
          <w:szCs w:val="24"/>
        </w:rPr>
      </w:pPr>
      <w:bookmarkStart w:id="7" w:name="_Toc46177953"/>
      <w:r>
        <w:rPr>
          <w:rFonts w:hint="eastAsia" w:ascii="宋体" w:hAnsi="宋体"/>
          <w:b/>
          <w:sz w:val="24"/>
          <w:szCs w:val="24"/>
        </w:rPr>
        <w:t>整改建议：</w:t>
      </w:r>
      <w:r>
        <w:rPr>
          <w:rFonts w:hint="eastAsia" w:ascii="宋体" w:hAnsi="宋体"/>
          <w:bCs/>
          <w:sz w:val="24"/>
          <w:szCs w:val="24"/>
        </w:rPr>
        <w:t>投标人应根据现场测评中发现的问题，分析与GB/T 22239-2019、ISO/IEC 27001、ISO/IEC 20000、ISO 22301、ITIL和ITSS等行业最佳实践之间的差距，按照网络安全等级保护标准要求提出安全整改建议；</w:t>
      </w:r>
      <w:bookmarkEnd w:id="7"/>
    </w:p>
    <w:p w14:paraId="5B7AF48F">
      <w:pPr>
        <w:pStyle w:val="3"/>
        <w:numPr>
          <w:ilvl w:val="0"/>
          <w:numId w:val="1"/>
        </w:numPr>
        <w:spacing w:before="240" w:after="120" w:line="360" w:lineRule="auto"/>
        <w:ind w:left="0" w:firstLine="482" w:firstLineChars="200"/>
        <w:rPr>
          <w:rFonts w:ascii="宋体" w:hAnsi="宋体"/>
          <w:b/>
          <w:sz w:val="24"/>
          <w:szCs w:val="24"/>
        </w:rPr>
      </w:pPr>
      <w:bookmarkStart w:id="8" w:name="_Toc46177954"/>
      <w:r>
        <w:rPr>
          <w:rFonts w:hint="eastAsia" w:ascii="宋体" w:hAnsi="宋体"/>
          <w:b/>
          <w:sz w:val="24"/>
          <w:szCs w:val="24"/>
        </w:rPr>
        <w:t>编制测评报告：</w:t>
      </w:r>
      <w:r>
        <w:rPr>
          <w:rFonts w:hint="eastAsia" w:ascii="宋体" w:hAnsi="宋体"/>
          <w:bCs/>
          <w:sz w:val="24"/>
          <w:szCs w:val="24"/>
        </w:rPr>
        <w:t>完成上述工作后，投标人最后出具符合标准要求的信息系统网络安全等级保护测评报告。</w:t>
      </w:r>
      <w:bookmarkEnd w:id="5"/>
      <w:bookmarkEnd w:id="8"/>
    </w:p>
    <w:p w14:paraId="5CC6F2EF">
      <w:pPr>
        <w:widowControl/>
        <w:shd w:val="clear" w:color="auto" w:fill="FFFFFF"/>
        <w:spacing w:before="240" w:after="120" w:line="480" w:lineRule="atLeast"/>
        <w:jc w:val="left"/>
        <w:outlineLvl w:val="1"/>
        <w:rPr>
          <w:rFonts w:hint="default" w:ascii="宋体" w:hAnsi="宋体" w:eastAsia="宋体" w:cs="Arial"/>
          <w:b/>
          <w:kern w:val="0"/>
          <w:szCs w:val="32"/>
        </w:rPr>
      </w:pPr>
      <w:bookmarkStart w:id="9" w:name="_Toc53217156"/>
      <w:r>
        <w:rPr>
          <w:rFonts w:ascii="宋体" w:hAnsi="宋体" w:eastAsia="宋体" w:cs="Arial"/>
          <w:b/>
          <w:kern w:val="0"/>
          <w:szCs w:val="32"/>
        </w:rPr>
        <w:t>5、工作要求：</w:t>
      </w:r>
      <w:bookmarkEnd w:id="9"/>
    </w:p>
    <w:p w14:paraId="553E7507">
      <w:pPr>
        <w:pStyle w:val="14"/>
        <w:numPr>
          <w:ilvl w:val="0"/>
          <w:numId w:val="2"/>
        </w:numPr>
        <w:spacing w:line="360" w:lineRule="auto"/>
        <w:ind w:firstLineChars="0"/>
        <w:outlineLvl w:val="2"/>
        <w:rPr>
          <w:rFonts w:ascii="宋体" w:hAnsi="宋体" w:eastAsia="宋体" w:cs="Arial"/>
          <w:b/>
          <w:sz w:val="24"/>
          <w:szCs w:val="24"/>
        </w:rPr>
      </w:pPr>
      <w:bookmarkStart w:id="10" w:name="_Toc52369337"/>
      <w:bookmarkStart w:id="11" w:name="_Toc46177957"/>
      <w:bookmarkStart w:id="12" w:name="_Toc53217157"/>
      <w:r>
        <w:rPr>
          <w:rFonts w:hint="eastAsia" w:ascii="宋体" w:hAnsi="宋体" w:eastAsia="宋体" w:cs="Arial"/>
          <w:b/>
          <w:sz w:val="24"/>
          <w:szCs w:val="24"/>
        </w:rPr>
        <w:t>实施原则</w:t>
      </w:r>
      <w:bookmarkEnd w:id="10"/>
      <w:bookmarkEnd w:id="11"/>
      <w:bookmarkEnd w:id="12"/>
    </w:p>
    <w:p w14:paraId="4237074C">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规范性原则：成交供应商工作中的过程和文档，具有很好的规范性，可以便于项目的跟踪和控制；</w:t>
      </w:r>
    </w:p>
    <w:p w14:paraId="23D51453">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标准性原则：测评方案的设计与实施应依据国家等级保护的相关标准进行。</w:t>
      </w:r>
    </w:p>
    <w:p w14:paraId="5E87D744">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可控性原则：测评的工具、方法和过程需在双方认可的范围之内并符合进度表的安排，保证采购人对服务工作的可控性；</w:t>
      </w:r>
    </w:p>
    <w:p w14:paraId="3EAD6DFC">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整体性原则：测评和分析的范围和内容应当整体全面，包括安全涉及的各个层面，避免由于遗漏造成未来的安全隐患；</w:t>
      </w:r>
    </w:p>
    <w:p w14:paraId="397D2C8E">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14:paraId="7C195D6B">
      <w:pPr>
        <w:tabs>
          <w:tab w:val="left" w:pos="720"/>
        </w:tabs>
        <w:adjustRightInd w:val="0"/>
        <w:snapToGrid w:val="0"/>
        <w:spacing w:line="360" w:lineRule="auto"/>
        <w:ind w:firstLine="460" w:firstLineChars="192"/>
        <w:rPr>
          <w:rFonts w:hint="default" w:ascii="宋体" w:hAnsi="宋体" w:eastAsia="宋体" w:cs="Arial"/>
          <w:sz w:val="24"/>
          <w:szCs w:val="24"/>
        </w:rPr>
      </w:pPr>
      <w:r>
        <w:rPr>
          <w:rFonts w:ascii="宋体" w:hAnsi="宋体" w:eastAsia="宋体" w:cs="Arial"/>
          <w:sz w:val="24"/>
          <w:szCs w:val="24"/>
        </w:rPr>
        <w:t>保密原则：对测评的过程数据和结果数据严格保密，未经授权不得泄露给任何单位和个人，不得利用此数据进行任何侵害采购人网络的行为，否则采购人有权追究责任。</w:t>
      </w:r>
    </w:p>
    <w:p w14:paraId="722A08C6">
      <w:pPr>
        <w:pStyle w:val="14"/>
        <w:numPr>
          <w:ilvl w:val="0"/>
          <w:numId w:val="2"/>
        </w:numPr>
        <w:spacing w:line="360" w:lineRule="auto"/>
        <w:ind w:firstLineChars="0"/>
        <w:outlineLvl w:val="2"/>
        <w:rPr>
          <w:rFonts w:ascii="宋体" w:hAnsi="宋体" w:eastAsia="宋体" w:cs="Arial"/>
          <w:b/>
          <w:sz w:val="24"/>
          <w:szCs w:val="24"/>
        </w:rPr>
      </w:pPr>
      <w:bookmarkStart w:id="13" w:name="_Toc53217158"/>
      <w:bookmarkStart w:id="14" w:name="_Toc52369338"/>
      <w:bookmarkStart w:id="15" w:name="_Toc46177958"/>
      <w:r>
        <w:rPr>
          <w:rFonts w:hint="eastAsia" w:ascii="宋体" w:hAnsi="宋体" w:eastAsia="宋体" w:cs="Arial"/>
          <w:b/>
          <w:sz w:val="24"/>
          <w:szCs w:val="24"/>
        </w:rPr>
        <w:t>测评依据</w:t>
      </w:r>
      <w:bookmarkEnd w:id="13"/>
      <w:bookmarkEnd w:id="14"/>
      <w:bookmarkEnd w:id="15"/>
    </w:p>
    <w:p w14:paraId="6841F940">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网络安全等级保护基本要求》（GB/T 22239-2019） </w:t>
      </w:r>
    </w:p>
    <w:p w14:paraId="0DE1846D">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网络安全等级保护定级指南》（GB/T 22240-2020）</w:t>
      </w:r>
    </w:p>
    <w:p w14:paraId="06BE9DF2">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 xml:space="preserve">《信息安全技术 网络安全等级保护测评要求》（GB/T 28448-2019） </w:t>
      </w:r>
    </w:p>
    <w:p w14:paraId="20888F9C">
      <w:pPr>
        <w:tabs>
          <w:tab w:val="left" w:pos="720"/>
        </w:tabs>
        <w:adjustRightInd w:val="0"/>
        <w:snapToGrid w:val="0"/>
        <w:spacing w:line="360" w:lineRule="auto"/>
        <w:rPr>
          <w:rFonts w:hint="default" w:ascii="宋体" w:hAnsi="宋体" w:eastAsia="宋体" w:cs="Arial"/>
          <w:sz w:val="24"/>
          <w:szCs w:val="24"/>
        </w:rPr>
      </w:pPr>
      <w:r>
        <w:rPr>
          <w:rFonts w:ascii="宋体" w:hAnsi="宋体" w:eastAsia="宋体" w:cs="Arial"/>
          <w:sz w:val="24"/>
          <w:szCs w:val="24"/>
        </w:rPr>
        <w:t>《信息安全技术 网络安全等级保护测评过程指南》（GB∕T 28449-2018）</w:t>
      </w:r>
    </w:p>
    <w:p w14:paraId="0CEB038A">
      <w:pPr>
        <w:pStyle w:val="14"/>
        <w:numPr>
          <w:ilvl w:val="0"/>
          <w:numId w:val="2"/>
        </w:numPr>
        <w:spacing w:line="360" w:lineRule="auto"/>
        <w:ind w:firstLineChars="0"/>
        <w:rPr>
          <w:rFonts w:ascii="宋体" w:hAnsi="宋体" w:eastAsia="宋体" w:cs="Arial"/>
          <w:b/>
          <w:sz w:val="24"/>
          <w:szCs w:val="24"/>
        </w:rPr>
      </w:pPr>
      <w:r>
        <w:rPr>
          <w:rFonts w:hint="eastAsia" w:ascii="宋体" w:hAnsi="宋体" w:eastAsia="宋体" w:cs="Arial"/>
          <w:b/>
          <w:sz w:val="24"/>
          <w:szCs w:val="24"/>
        </w:rPr>
        <w:t>等级保护测评内容</w:t>
      </w:r>
    </w:p>
    <w:p w14:paraId="4FD6B3C9">
      <w:pPr>
        <w:snapToGrid w:val="0"/>
        <w:spacing w:line="360" w:lineRule="auto"/>
        <w:ind w:firstLine="480" w:firstLineChars="200"/>
        <w:rPr>
          <w:rFonts w:hint="default" w:ascii="宋体" w:hAnsi="宋体" w:eastAsia="宋体"/>
          <w:sz w:val="24"/>
          <w:szCs w:val="24"/>
        </w:rPr>
      </w:pPr>
      <w:bookmarkStart w:id="16" w:name="_Toc288574635"/>
      <w:bookmarkStart w:id="17" w:name="_Toc288570237"/>
      <w:bookmarkStart w:id="18" w:name="_Toc288552020"/>
      <w:bookmarkStart w:id="19" w:name="_Toc287704425"/>
      <w:r>
        <w:rPr>
          <w:rFonts w:ascii="宋体" w:hAnsi="宋体" w:eastAsia="宋体"/>
          <w:sz w:val="24"/>
          <w:szCs w:val="24"/>
        </w:rPr>
        <w:t>根据国家等级保护相关标准，本次项目的网络安全等级保护测评应包括以下内容：</w:t>
      </w:r>
    </w:p>
    <w:bookmarkEnd w:id="16"/>
    <w:bookmarkEnd w:id="17"/>
    <w:bookmarkEnd w:id="18"/>
    <w:bookmarkEnd w:id="19"/>
    <w:p w14:paraId="7FA5402E">
      <w:pPr>
        <w:pStyle w:val="17"/>
        <w:overflowPunct w:val="0"/>
        <w:topLinePunct/>
        <w:spacing w:line="360" w:lineRule="auto"/>
        <w:ind w:firstLine="480" w:firstLineChars="200"/>
        <w:rPr>
          <w:color w:val="auto"/>
          <w:sz w:val="24"/>
          <w:szCs w:val="24"/>
        </w:rPr>
      </w:pPr>
      <w:r>
        <w:rPr>
          <w:color w:val="auto"/>
          <w:sz w:val="24"/>
          <w:szCs w:val="24"/>
        </w:rPr>
        <w:t>安全技术测评：</w:t>
      </w:r>
      <w:r>
        <w:rPr>
          <w:rFonts w:hint="eastAsia"/>
          <w:color w:val="auto"/>
          <w:sz w:val="24"/>
          <w:szCs w:val="24"/>
        </w:rPr>
        <w:t>包括安全物理环境</w:t>
      </w:r>
      <w:r>
        <w:rPr>
          <w:color w:val="auto"/>
          <w:sz w:val="24"/>
          <w:szCs w:val="24"/>
        </w:rPr>
        <w:t>、安全</w:t>
      </w:r>
      <w:r>
        <w:rPr>
          <w:rFonts w:hint="eastAsia"/>
          <w:color w:val="auto"/>
          <w:sz w:val="24"/>
          <w:szCs w:val="24"/>
        </w:rPr>
        <w:t>通信</w:t>
      </w:r>
      <w:r>
        <w:rPr>
          <w:color w:val="auto"/>
          <w:sz w:val="24"/>
          <w:szCs w:val="24"/>
        </w:rPr>
        <w:t>网络</w:t>
      </w:r>
      <w:r>
        <w:rPr>
          <w:rFonts w:hint="eastAsia"/>
          <w:color w:val="auto"/>
          <w:sz w:val="24"/>
          <w:szCs w:val="24"/>
        </w:rPr>
        <w:t>、</w:t>
      </w:r>
      <w:r>
        <w:rPr>
          <w:color w:val="auto"/>
          <w:sz w:val="24"/>
          <w:szCs w:val="24"/>
        </w:rPr>
        <w:t>安全</w:t>
      </w:r>
      <w:r>
        <w:rPr>
          <w:rFonts w:hint="eastAsia"/>
          <w:color w:val="auto"/>
          <w:sz w:val="24"/>
          <w:szCs w:val="24"/>
        </w:rPr>
        <w:t>区域边界、安全计算环境、安全管理中心</w:t>
      </w:r>
      <w:r>
        <w:rPr>
          <w:color w:val="auto"/>
          <w:sz w:val="24"/>
          <w:szCs w:val="24"/>
        </w:rPr>
        <w:t>等</w:t>
      </w:r>
      <w:r>
        <w:rPr>
          <w:rFonts w:hint="eastAsia"/>
          <w:color w:val="auto"/>
          <w:sz w:val="24"/>
          <w:szCs w:val="24"/>
        </w:rPr>
        <w:t>五个方面的安全</w:t>
      </w:r>
      <w:r>
        <w:rPr>
          <w:color w:val="auto"/>
          <w:sz w:val="24"/>
          <w:szCs w:val="24"/>
        </w:rPr>
        <w:t>测评；</w:t>
      </w:r>
    </w:p>
    <w:p w14:paraId="0D4149B6">
      <w:pPr>
        <w:pStyle w:val="17"/>
        <w:overflowPunct w:val="0"/>
        <w:topLinePunct/>
        <w:spacing w:line="360" w:lineRule="auto"/>
        <w:ind w:firstLine="480" w:firstLineChars="200"/>
        <w:rPr>
          <w:color w:val="auto"/>
          <w:sz w:val="24"/>
          <w:szCs w:val="24"/>
        </w:rPr>
      </w:pPr>
      <w:r>
        <w:rPr>
          <w:color w:val="auto"/>
          <w:sz w:val="24"/>
          <w:szCs w:val="24"/>
        </w:rPr>
        <w:t>安全管理测评：</w:t>
      </w:r>
      <w:r>
        <w:rPr>
          <w:rFonts w:hint="eastAsia"/>
          <w:color w:val="auto"/>
          <w:sz w:val="24"/>
          <w:szCs w:val="24"/>
        </w:rPr>
        <w:t>包括</w:t>
      </w:r>
      <w:r>
        <w:rPr>
          <w:color w:val="auto"/>
          <w:sz w:val="24"/>
          <w:szCs w:val="24"/>
        </w:rPr>
        <w:t>安全管理</w:t>
      </w:r>
      <w:r>
        <w:rPr>
          <w:rFonts w:hint="eastAsia"/>
          <w:color w:val="auto"/>
          <w:sz w:val="24"/>
          <w:szCs w:val="24"/>
        </w:rPr>
        <w:t>制度</w:t>
      </w:r>
      <w:r>
        <w:rPr>
          <w:color w:val="auto"/>
          <w:sz w:val="24"/>
          <w:szCs w:val="24"/>
        </w:rPr>
        <w:t>、安全管理</w:t>
      </w:r>
      <w:r>
        <w:rPr>
          <w:rFonts w:hint="eastAsia"/>
          <w:color w:val="auto"/>
          <w:sz w:val="24"/>
          <w:szCs w:val="24"/>
        </w:rPr>
        <w:t>机构、</w:t>
      </w:r>
      <w:r>
        <w:rPr>
          <w:color w:val="auto"/>
          <w:sz w:val="24"/>
          <w:szCs w:val="24"/>
        </w:rPr>
        <w:t>安全管理人员、</w:t>
      </w:r>
      <w:r>
        <w:rPr>
          <w:rFonts w:hint="eastAsia"/>
          <w:color w:val="auto"/>
          <w:sz w:val="24"/>
          <w:szCs w:val="24"/>
        </w:rPr>
        <w:t>安全</w:t>
      </w:r>
      <w:r>
        <w:rPr>
          <w:color w:val="auto"/>
          <w:sz w:val="24"/>
          <w:szCs w:val="24"/>
        </w:rPr>
        <w:t>建设管理和</w:t>
      </w:r>
      <w:r>
        <w:rPr>
          <w:rFonts w:hint="eastAsia"/>
          <w:color w:val="auto"/>
          <w:sz w:val="24"/>
          <w:szCs w:val="24"/>
        </w:rPr>
        <w:t>安全</w:t>
      </w:r>
      <w:r>
        <w:rPr>
          <w:color w:val="auto"/>
          <w:sz w:val="24"/>
          <w:szCs w:val="24"/>
        </w:rPr>
        <w:t>运维管理等</w:t>
      </w:r>
      <w:r>
        <w:rPr>
          <w:rFonts w:hint="eastAsia"/>
          <w:color w:val="auto"/>
          <w:sz w:val="24"/>
          <w:szCs w:val="24"/>
        </w:rPr>
        <w:t>五</w:t>
      </w:r>
      <w:r>
        <w:rPr>
          <w:color w:val="auto"/>
          <w:sz w:val="24"/>
          <w:szCs w:val="24"/>
        </w:rPr>
        <w:t>个方面的安全测评</w:t>
      </w:r>
      <w:r>
        <w:rPr>
          <w:rFonts w:hint="eastAsia"/>
          <w:sz w:val="24"/>
          <w:szCs w:val="24"/>
        </w:rPr>
        <w:t>。</w:t>
      </w:r>
    </w:p>
    <w:p w14:paraId="722A7676">
      <w:pPr>
        <w:numPr>
          <w:ilvl w:val="1"/>
          <w:numId w:val="3"/>
        </w:numPr>
        <w:spacing w:line="360" w:lineRule="auto"/>
        <w:ind w:left="640" w:leftChars="200" w:firstLine="0"/>
        <w:outlineLvl w:val="4"/>
        <w:rPr>
          <w:rFonts w:hint="default" w:ascii="宋体" w:hAnsi="宋体" w:eastAsia="宋体"/>
          <w:b/>
          <w:sz w:val="24"/>
          <w:szCs w:val="24"/>
        </w:rPr>
      </w:pPr>
      <w:bookmarkStart w:id="20" w:name="_Toc4424566"/>
      <w:r>
        <w:rPr>
          <w:rFonts w:ascii="宋体" w:hAnsi="宋体" w:eastAsia="宋体"/>
          <w:b/>
          <w:sz w:val="24"/>
          <w:szCs w:val="24"/>
        </w:rPr>
        <w:t>安全物理</w:t>
      </w:r>
      <w:bookmarkEnd w:id="20"/>
      <w:r>
        <w:rPr>
          <w:rFonts w:ascii="宋体" w:hAnsi="宋体" w:eastAsia="宋体"/>
          <w:b/>
          <w:sz w:val="24"/>
          <w:szCs w:val="24"/>
        </w:rPr>
        <w:t>环境</w:t>
      </w:r>
    </w:p>
    <w:p w14:paraId="7B137C74">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14:paraId="6E0AE385">
      <w:pPr>
        <w:numPr>
          <w:ilvl w:val="1"/>
          <w:numId w:val="3"/>
        </w:numPr>
        <w:spacing w:line="360" w:lineRule="auto"/>
        <w:ind w:left="640" w:leftChars="200" w:firstLine="0"/>
        <w:outlineLvl w:val="4"/>
        <w:rPr>
          <w:rFonts w:hint="default" w:ascii="宋体" w:hAnsi="宋体" w:eastAsia="宋体"/>
          <w:b/>
          <w:sz w:val="24"/>
          <w:szCs w:val="24"/>
        </w:rPr>
      </w:pPr>
      <w:bookmarkStart w:id="21" w:name="_Toc4424567"/>
      <w:r>
        <w:rPr>
          <w:rFonts w:ascii="宋体" w:hAnsi="宋体" w:eastAsia="宋体"/>
          <w:b/>
          <w:sz w:val="24"/>
          <w:szCs w:val="24"/>
        </w:rPr>
        <w:t>安全通信网络</w:t>
      </w:r>
      <w:bookmarkEnd w:id="21"/>
    </w:p>
    <w:p w14:paraId="4D1DDB3B">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安全通信网络测评是对网络系统安全防护情况进行测评，包括网络架构、通信传输、可信验证等方面的安全状况。</w:t>
      </w:r>
    </w:p>
    <w:p w14:paraId="4CEEA663">
      <w:pPr>
        <w:numPr>
          <w:ilvl w:val="1"/>
          <w:numId w:val="3"/>
        </w:numPr>
        <w:spacing w:line="360" w:lineRule="auto"/>
        <w:ind w:left="640" w:leftChars="200" w:firstLine="0"/>
        <w:outlineLvl w:val="4"/>
        <w:rPr>
          <w:rFonts w:hint="default" w:ascii="宋体" w:hAnsi="宋体" w:eastAsia="宋体"/>
          <w:b/>
          <w:sz w:val="24"/>
          <w:szCs w:val="24"/>
        </w:rPr>
      </w:pPr>
      <w:r>
        <w:rPr>
          <w:rFonts w:ascii="宋体" w:hAnsi="宋体" w:eastAsia="宋体"/>
          <w:b/>
          <w:sz w:val="24"/>
          <w:szCs w:val="24"/>
        </w:rPr>
        <w:t>安全区域边界</w:t>
      </w:r>
    </w:p>
    <w:p w14:paraId="794D5308">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安全区域边界是对边界防护、访问控制、入侵防范、恶意代码防范、安全审计、可信验证等方面的测评。</w:t>
      </w:r>
    </w:p>
    <w:p w14:paraId="58B2B426">
      <w:pPr>
        <w:numPr>
          <w:ilvl w:val="1"/>
          <w:numId w:val="3"/>
        </w:numPr>
        <w:spacing w:line="360" w:lineRule="auto"/>
        <w:ind w:left="640" w:leftChars="200" w:firstLine="0"/>
        <w:outlineLvl w:val="4"/>
        <w:rPr>
          <w:rFonts w:hint="default" w:ascii="宋体" w:hAnsi="宋体" w:eastAsia="宋体"/>
          <w:b/>
          <w:sz w:val="24"/>
          <w:szCs w:val="24"/>
        </w:rPr>
      </w:pPr>
      <w:bookmarkStart w:id="22" w:name="_Toc4424569"/>
      <w:r>
        <w:rPr>
          <w:rFonts w:ascii="宋体" w:hAnsi="宋体" w:eastAsia="宋体"/>
          <w:b/>
          <w:sz w:val="24"/>
          <w:szCs w:val="24"/>
        </w:rPr>
        <w:t>安全</w:t>
      </w:r>
      <w:bookmarkEnd w:id="22"/>
      <w:r>
        <w:rPr>
          <w:rFonts w:ascii="宋体" w:hAnsi="宋体" w:eastAsia="宋体"/>
          <w:b/>
          <w:sz w:val="24"/>
          <w:szCs w:val="24"/>
        </w:rPr>
        <w:t>计算环境</w:t>
      </w:r>
    </w:p>
    <w:p w14:paraId="2EE70FE9">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安全计算环境是对身份鉴别、访问控制、安全审计、入侵防范、恶意代码防范、可信验证、数据完整性、数据保密性、数据备份恢复、剩余信息保护、个人信息保护等方面的测评。</w:t>
      </w:r>
    </w:p>
    <w:p w14:paraId="4F8B3529">
      <w:pPr>
        <w:numPr>
          <w:ilvl w:val="1"/>
          <w:numId w:val="3"/>
        </w:numPr>
        <w:spacing w:line="360" w:lineRule="auto"/>
        <w:ind w:left="640" w:leftChars="200" w:firstLine="0"/>
        <w:outlineLvl w:val="4"/>
        <w:rPr>
          <w:rFonts w:hint="default" w:ascii="宋体" w:hAnsi="宋体" w:eastAsia="宋体"/>
          <w:b/>
          <w:sz w:val="24"/>
          <w:szCs w:val="24"/>
        </w:rPr>
      </w:pPr>
      <w:r>
        <w:rPr>
          <w:rFonts w:ascii="宋体" w:hAnsi="宋体" w:eastAsia="宋体"/>
          <w:b/>
          <w:sz w:val="24"/>
          <w:szCs w:val="24"/>
        </w:rPr>
        <w:t>安全管理中心</w:t>
      </w:r>
    </w:p>
    <w:p w14:paraId="6C6DFE3F">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安全管理中心是对系统管理、审计管理、安全管理、集中管控等方面的测评。</w:t>
      </w:r>
    </w:p>
    <w:p w14:paraId="56A47564">
      <w:pPr>
        <w:numPr>
          <w:ilvl w:val="1"/>
          <w:numId w:val="3"/>
        </w:numPr>
        <w:spacing w:line="360" w:lineRule="auto"/>
        <w:ind w:left="640" w:leftChars="200" w:firstLine="0"/>
        <w:outlineLvl w:val="4"/>
        <w:rPr>
          <w:rFonts w:hint="default" w:ascii="宋体" w:hAnsi="宋体" w:eastAsia="宋体"/>
          <w:b/>
          <w:sz w:val="24"/>
          <w:szCs w:val="24"/>
        </w:rPr>
      </w:pPr>
      <w:bookmarkStart w:id="23" w:name="_Toc4424571"/>
      <w:r>
        <w:rPr>
          <w:rFonts w:ascii="宋体" w:hAnsi="宋体" w:eastAsia="宋体"/>
          <w:b/>
          <w:sz w:val="24"/>
          <w:szCs w:val="24"/>
        </w:rPr>
        <w:t>安全管理制度</w:t>
      </w:r>
      <w:bookmarkEnd w:id="23"/>
    </w:p>
    <w:p w14:paraId="78D361D3">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安全管理制度测评是对安全策略、管理制度、制定和发布、评审和修订进行测评。</w:t>
      </w:r>
    </w:p>
    <w:p w14:paraId="7DE4A412">
      <w:pPr>
        <w:numPr>
          <w:ilvl w:val="1"/>
          <w:numId w:val="3"/>
        </w:numPr>
        <w:spacing w:line="360" w:lineRule="auto"/>
        <w:ind w:left="640" w:leftChars="200" w:firstLine="0"/>
        <w:outlineLvl w:val="4"/>
        <w:rPr>
          <w:rFonts w:hint="default" w:ascii="宋体" w:hAnsi="宋体" w:eastAsia="宋体"/>
          <w:b/>
          <w:sz w:val="24"/>
          <w:szCs w:val="24"/>
        </w:rPr>
      </w:pPr>
      <w:bookmarkStart w:id="24" w:name="_Toc4424572"/>
      <w:r>
        <w:rPr>
          <w:rFonts w:ascii="宋体" w:hAnsi="宋体" w:eastAsia="宋体"/>
          <w:b/>
          <w:sz w:val="24"/>
          <w:szCs w:val="24"/>
        </w:rPr>
        <w:t>安全管理机构</w:t>
      </w:r>
      <w:bookmarkEnd w:id="24"/>
    </w:p>
    <w:p w14:paraId="6772B2A4">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安全管理机构测评是对岗位设置、人员配备、授权和审批、沟通和合作、审核和检查等情况进行测评。</w:t>
      </w:r>
    </w:p>
    <w:p w14:paraId="51638965">
      <w:pPr>
        <w:numPr>
          <w:ilvl w:val="1"/>
          <w:numId w:val="3"/>
        </w:numPr>
        <w:spacing w:line="360" w:lineRule="auto"/>
        <w:ind w:left="640" w:leftChars="200" w:firstLine="0"/>
        <w:outlineLvl w:val="4"/>
        <w:rPr>
          <w:rFonts w:hint="default" w:ascii="宋体" w:hAnsi="宋体" w:eastAsia="宋体"/>
          <w:b/>
          <w:sz w:val="24"/>
          <w:szCs w:val="24"/>
        </w:rPr>
      </w:pPr>
      <w:bookmarkStart w:id="25" w:name="_Toc4424573"/>
      <w:r>
        <w:rPr>
          <w:rFonts w:ascii="宋体" w:hAnsi="宋体" w:eastAsia="宋体"/>
          <w:b/>
          <w:sz w:val="24"/>
          <w:szCs w:val="24"/>
        </w:rPr>
        <w:t>安全管理</w:t>
      </w:r>
      <w:bookmarkEnd w:id="25"/>
      <w:r>
        <w:rPr>
          <w:rFonts w:ascii="宋体" w:hAnsi="宋体" w:eastAsia="宋体"/>
          <w:b/>
          <w:sz w:val="24"/>
          <w:szCs w:val="24"/>
        </w:rPr>
        <w:t>人员</w:t>
      </w:r>
    </w:p>
    <w:p w14:paraId="7A7DDDC1">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安全管理人员测评是对人员录用、人员离岗、安全意识教育和培训、外部人员访问管理等情况进行测评。</w:t>
      </w:r>
    </w:p>
    <w:p w14:paraId="448FD799">
      <w:pPr>
        <w:numPr>
          <w:ilvl w:val="1"/>
          <w:numId w:val="3"/>
        </w:numPr>
        <w:spacing w:line="360" w:lineRule="auto"/>
        <w:ind w:left="640" w:leftChars="200" w:firstLine="0"/>
        <w:outlineLvl w:val="4"/>
        <w:rPr>
          <w:rFonts w:hint="default" w:ascii="宋体" w:hAnsi="宋体" w:eastAsia="宋体"/>
          <w:b/>
          <w:sz w:val="24"/>
          <w:szCs w:val="24"/>
        </w:rPr>
      </w:pPr>
      <w:bookmarkStart w:id="26" w:name="_Toc4424574"/>
      <w:r>
        <w:rPr>
          <w:rFonts w:ascii="宋体" w:hAnsi="宋体" w:eastAsia="宋体"/>
          <w:b/>
          <w:sz w:val="24"/>
          <w:szCs w:val="24"/>
        </w:rPr>
        <w:t>安全建设管理</w:t>
      </w:r>
      <w:bookmarkEnd w:id="26"/>
    </w:p>
    <w:p w14:paraId="35815A03">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安全建设管理测评是对建设过程中安全方案设计、产品采购和使用、自行软件开发、外包软件开发、 工程实施、测试验收、系统交付、 等级测评、服务供应商选择等情况进行测评。</w:t>
      </w:r>
    </w:p>
    <w:p w14:paraId="0521A13F">
      <w:pPr>
        <w:numPr>
          <w:ilvl w:val="1"/>
          <w:numId w:val="3"/>
        </w:numPr>
        <w:spacing w:line="360" w:lineRule="auto"/>
        <w:ind w:left="640" w:leftChars="200" w:firstLine="0"/>
        <w:outlineLvl w:val="4"/>
        <w:rPr>
          <w:rFonts w:hint="default" w:ascii="宋体" w:hAnsi="宋体" w:eastAsia="宋体"/>
          <w:b/>
          <w:sz w:val="24"/>
          <w:szCs w:val="24"/>
        </w:rPr>
      </w:pPr>
      <w:bookmarkStart w:id="27" w:name="_Toc4424575"/>
      <w:r>
        <w:rPr>
          <w:rFonts w:ascii="宋体" w:hAnsi="宋体" w:eastAsia="宋体"/>
          <w:b/>
          <w:sz w:val="24"/>
          <w:szCs w:val="24"/>
        </w:rPr>
        <w:t>安全运维管理</w:t>
      </w:r>
      <w:bookmarkEnd w:id="27"/>
    </w:p>
    <w:p w14:paraId="1753F81B">
      <w:pPr>
        <w:tabs>
          <w:tab w:val="left" w:pos="1080"/>
          <w:tab w:val="left" w:pos="1680"/>
        </w:tabs>
        <w:snapToGrid w:val="0"/>
        <w:spacing w:line="360" w:lineRule="auto"/>
        <w:ind w:firstLine="480" w:firstLineChars="200"/>
        <w:rPr>
          <w:rFonts w:hint="default" w:ascii="宋体" w:hAnsi="宋体" w:eastAsia="宋体"/>
          <w:sz w:val="24"/>
          <w:szCs w:val="24"/>
        </w:rPr>
      </w:pPr>
      <w:r>
        <w:rPr>
          <w:rFonts w:ascii="宋体" w:hAnsi="宋体" w:eastAsia="宋体"/>
          <w:sz w:val="24"/>
          <w:szCs w:val="24"/>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p w14:paraId="13868A00">
      <w:pPr>
        <w:widowControl/>
        <w:shd w:val="clear" w:color="auto" w:fill="FFFFFF"/>
        <w:spacing w:before="240" w:after="120" w:line="480" w:lineRule="atLeast"/>
        <w:jc w:val="left"/>
        <w:outlineLvl w:val="1"/>
        <w:rPr>
          <w:rFonts w:hint="default" w:ascii="宋体" w:hAnsi="宋体" w:eastAsia="宋体" w:cs="Arial"/>
          <w:b/>
          <w:kern w:val="0"/>
          <w:szCs w:val="32"/>
        </w:rPr>
      </w:pPr>
      <w:bookmarkStart w:id="28" w:name="_Toc53217159"/>
      <w:r>
        <w:rPr>
          <w:rFonts w:ascii="宋体" w:hAnsi="宋体" w:eastAsia="宋体" w:cs="Arial"/>
          <w:b/>
          <w:kern w:val="0"/>
          <w:szCs w:val="32"/>
        </w:rPr>
        <w:t>6、报价要求</w:t>
      </w:r>
      <w:bookmarkEnd w:id="28"/>
    </w:p>
    <w:p w14:paraId="6C065ACE">
      <w:pPr>
        <w:tabs>
          <w:tab w:val="left" w:pos="284"/>
        </w:tabs>
        <w:spacing w:line="360" w:lineRule="auto"/>
        <w:ind w:firstLine="480" w:firstLineChars="200"/>
        <w:jc w:val="left"/>
        <w:rPr>
          <w:rFonts w:hint="default" w:ascii="宋体" w:hAnsi="宋体" w:eastAsia="宋体" w:cs="Arial"/>
          <w:sz w:val="24"/>
          <w:szCs w:val="24"/>
        </w:rPr>
      </w:pPr>
      <w:r>
        <w:rPr>
          <w:rFonts w:ascii="宋体" w:hAnsi="宋体" w:eastAsia="宋体" w:cs="Arial"/>
          <w:sz w:val="24"/>
          <w:szCs w:val="24"/>
        </w:rPr>
        <w:t>本项目报总价，报价包含完成本项目服务期间所产生的一切费用，采购人后期不再另行追加费用。</w:t>
      </w:r>
    </w:p>
    <w:p w14:paraId="2F09A2AC">
      <w:pPr>
        <w:widowControl/>
        <w:shd w:val="clear" w:color="auto" w:fill="FFFFFF"/>
        <w:spacing w:before="240" w:after="120" w:line="480" w:lineRule="atLeast"/>
        <w:jc w:val="left"/>
        <w:outlineLvl w:val="1"/>
        <w:rPr>
          <w:rFonts w:hint="default" w:ascii="宋体" w:hAnsi="宋体" w:eastAsia="宋体" w:cs="Arial"/>
          <w:b/>
          <w:kern w:val="0"/>
          <w:szCs w:val="32"/>
        </w:rPr>
      </w:pPr>
      <w:bookmarkStart w:id="29" w:name="_Toc53217161"/>
      <w:r>
        <w:rPr>
          <w:rFonts w:hint="default" w:ascii="宋体" w:hAnsi="宋体" w:eastAsia="宋体" w:cs="Arial"/>
          <w:b/>
          <w:kern w:val="0"/>
          <w:szCs w:val="32"/>
        </w:rPr>
        <w:t>7</w:t>
      </w:r>
      <w:r>
        <w:rPr>
          <w:rFonts w:ascii="宋体" w:hAnsi="宋体" w:eastAsia="宋体" w:cs="Arial"/>
          <w:b/>
          <w:kern w:val="0"/>
          <w:szCs w:val="32"/>
        </w:rPr>
        <w:t>、验收标准</w:t>
      </w:r>
      <w:bookmarkEnd w:id="29"/>
    </w:p>
    <w:p w14:paraId="5D00066F">
      <w:pPr>
        <w:pStyle w:val="15"/>
        <w:spacing w:line="360" w:lineRule="auto"/>
        <w:ind w:firstLine="480" w:firstLineChars="200"/>
      </w:pPr>
      <w:r>
        <w:t>本项目服务的验收将以成交供应商提交《测评报告》并在公安部登记管理系统填报结果为准。</w:t>
      </w:r>
    </w:p>
    <w:p w14:paraId="2226E540">
      <w:pPr>
        <w:widowControl/>
        <w:numPr>
          <w:ilvl w:val="0"/>
          <w:numId w:val="4"/>
        </w:numPr>
        <w:shd w:val="clear" w:color="auto" w:fill="FFFFFF"/>
        <w:spacing w:before="240" w:after="120" w:line="480" w:lineRule="atLeast"/>
        <w:jc w:val="left"/>
        <w:outlineLvl w:val="1"/>
        <w:rPr>
          <w:rFonts w:hint="eastAsia" w:ascii="宋体" w:hAnsi="宋体" w:eastAsia="宋体" w:cs="Arial"/>
          <w:b/>
          <w:kern w:val="0"/>
          <w:szCs w:val="32"/>
          <w:lang w:val="en-US" w:eastAsia="zh-CN"/>
        </w:rPr>
      </w:pPr>
      <w:r>
        <w:rPr>
          <w:rFonts w:hint="eastAsia" w:ascii="宋体" w:hAnsi="宋体" w:eastAsia="宋体" w:cs="Arial"/>
          <w:b/>
          <w:kern w:val="0"/>
          <w:szCs w:val="32"/>
          <w:lang w:val="en-US" w:eastAsia="zh-CN"/>
        </w:rPr>
        <w:t>特定资格要求</w:t>
      </w:r>
    </w:p>
    <w:p w14:paraId="5D38390C">
      <w:pPr>
        <w:rPr>
          <w:rFonts w:hint="eastAsia" w:ascii="仿宋" w:hAnsi="仿宋" w:eastAsia="仿宋"/>
          <w:b w:val="0"/>
          <w:bCs w:val="0"/>
          <w:sz w:val="28"/>
          <w:szCs w:val="28"/>
        </w:rPr>
      </w:pPr>
      <w:r>
        <w:rPr>
          <w:rFonts w:hint="eastAsia" w:ascii="仿宋" w:hAnsi="仿宋" w:eastAsia="仿宋"/>
          <w:b w:val="0"/>
          <w:bCs w:val="0"/>
          <w:sz w:val="28"/>
          <w:szCs w:val="28"/>
          <w:lang w:val="en-US" w:eastAsia="zh-CN"/>
        </w:rPr>
        <w:t>1</w:t>
      </w:r>
      <w:r>
        <w:rPr>
          <w:rFonts w:ascii="仿宋" w:hAnsi="仿宋" w:eastAsia="仿宋"/>
          <w:b w:val="0"/>
          <w:bCs w:val="0"/>
          <w:sz w:val="28"/>
          <w:szCs w:val="28"/>
        </w:rPr>
        <w:t>、</w:t>
      </w:r>
      <w:r>
        <w:rPr>
          <w:rFonts w:hint="eastAsia" w:ascii="仿宋" w:hAnsi="仿宋" w:eastAsia="仿宋"/>
          <w:b w:val="0"/>
          <w:bCs w:val="0"/>
          <w:sz w:val="28"/>
          <w:szCs w:val="28"/>
        </w:rPr>
        <w:t>具备履行合同所必须的设备和专业技术能力的证明材料：</w:t>
      </w:r>
    </w:p>
    <w:p w14:paraId="39FE3EFC">
      <w:pPr>
        <w:rPr>
          <w:rFonts w:hint="eastAsia" w:ascii="仿宋" w:hAnsi="仿宋" w:eastAsia="仿宋"/>
          <w:b w:val="0"/>
          <w:bCs w:val="0"/>
          <w:sz w:val="28"/>
          <w:szCs w:val="28"/>
        </w:rPr>
      </w:pPr>
      <w:r>
        <w:rPr>
          <w:rFonts w:hint="eastAsia" w:ascii="仿宋" w:hAnsi="仿宋" w:eastAsia="仿宋"/>
          <w:b w:val="0"/>
          <w:bCs w:val="0"/>
          <w:sz w:val="28"/>
          <w:szCs w:val="28"/>
        </w:rPr>
        <w:t>（1）具有公安部第三研究所颁发的网络安全等级测评与检测评估机构服务认证证书，能开展网络安全等级保护测评服务工作。</w:t>
      </w:r>
    </w:p>
    <w:p w14:paraId="1C274022">
      <w:pPr>
        <w:rPr>
          <w:rFonts w:hint="eastAsia" w:ascii="仿宋" w:hAnsi="仿宋" w:eastAsia="仿宋"/>
          <w:b w:val="0"/>
          <w:bCs w:val="0"/>
          <w:sz w:val="28"/>
          <w:szCs w:val="28"/>
        </w:rPr>
      </w:pPr>
      <w:r>
        <w:rPr>
          <w:rFonts w:hint="eastAsia" w:ascii="仿宋" w:hAnsi="仿宋" w:eastAsia="仿宋"/>
          <w:b w:val="0"/>
          <w:bCs w:val="0"/>
          <w:sz w:val="28"/>
          <w:szCs w:val="28"/>
        </w:rPr>
        <w:t>（2）具有国家信息安全漏洞库(CNNVD)技术支撑单位等级证书或原创漏洞证明，在检测已知漏洞的同时具备漏洞挖掘的能力。</w:t>
      </w:r>
    </w:p>
    <w:p w14:paraId="24FBB7A4">
      <w:pPr>
        <w:pStyle w:val="8"/>
        <w:ind w:left="0" w:leftChars="0" w:firstLine="0" w:firstLineChars="0"/>
        <w:rPr>
          <w:rFonts w:hint="default" w:ascii="仿宋" w:hAnsi="仿宋" w:eastAsia="仿宋"/>
          <w:b w:val="0"/>
          <w:bCs w:val="0"/>
          <w:sz w:val="28"/>
          <w:szCs w:val="28"/>
        </w:rPr>
      </w:pPr>
      <w:r>
        <w:rPr>
          <w:rFonts w:hint="eastAsia" w:ascii="仿宋" w:hAnsi="仿宋" w:eastAsia="仿宋"/>
          <w:b w:val="0"/>
          <w:bCs w:val="0"/>
          <w:sz w:val="28"/>
          <w:szCs w:val="28"/>
          <w:lang w:val="en-US" w:eastAsia="zh-CN"/>
        </w:rPr>
        <w:t>2</w:t>
      </w:r>
      <w:r>
        <w:rPr>
          <w:rFonts w:ascii="仿宋" w:hAnsi="仿宋" w:eastAsia="仿宋"/>
          <w:b w:val="0"/>
          <w:bCs w:val="0"/>
          <w:sz w:val="28"/>
          <w:szCs w:val="28"/>
        </w:rPr>
        <w:t>、配备的项目团队应设置项目经理（1人）、团队成员（至少3人），项目经理须同时具备高级测评师证书及重要信息系统安全保障人员(CIIP-T)证书。</w:t>
      </w:r>
    </w:p>
    <w:p w14:paraId="1114EC26">
      <w:pPr>
        <w:pStyle w:val="8"/>
        <w:ind w:left="0" w:leftChars="0" w:firstLine="0" w:firstLineChars="0"/>
        <w:rPr>
          <w:rFonts w:hint="default" w:ascii="仿宋" w:hAnsi="仿宋" w:eastAsia="仿宋"/>
          <w:b w:val="0"/>
          <w:bCs w:val="0"/>
          <w:sz w:val="28"/>
          <w:szCs w:val="28"/>
        </w:rPr>
      </w:pPr>
      <w:r>
        <w:rPr>
          <w:rFonts w:hint="eastAsia" w:ascii="仿宋" w:hAnsi="仿宋" w:eastAsia="仿宋"/>
          <w:b w:val="0"/>
          <w:bCs w:val="0"/>
          <w:sz w:val="28"/>
          <w:szCs w:val="28"/>
          <w:lang w:val="en-US" w:eastAsia="zh-CN"/>
        </w:rPr>
        <w:t>3</w:t>
      </w:r>
      <w:r>
        <w:rPr>
          <w:rFonts w:ascii="仿宋" w:hAnsi="仿宋" w:eastAsia="仿宋"/>
          <w:b w:val="0"/>
          <w:bCs w:val="0"/>
          <w:sz w:val="28"/>
          <w:szCs w:val="28"/>
        </w:rPr>
        <w:t>、投标人须具备中国网络安全审查技术与认证中心颁发的信息系统安全运维服务资质证书。</w:t>
      </w:r>
    </w:p>
    <w:p w14:paraId="1D4A3E94">
      <w:pPr>
        <w:pStyle w:val="8"/>
        <w:ind w:left="0" w:leftChars="0" w:firstLine="0" w:firstLineChars="0"/>
        <w:rPr>
          <w:rFonts w:hint="default" w:ascii="仿宋" w:hAnsi="仿宋" w:eastAsia="仿宋"/>
          <w:sz w:val="28"/>
          <w:szCs w:val="28"/>
        </w:rPr>
      </w:pPr>
      <w:r>
        <w:rPr>
          <w:rFonts w:hint="eastAsia" w:ascii="仿宋" w:hAnsi="仿宋" w:eastAsia="仿宋"/>
          <w:b w:val="0"/>
          <w:bCs w:val="0"/>
          <w:sz w:val="28"/>
          <w:szCs w:val="28"/>
          <w:lang w:val="en-US" w:eastAsia="zh-CN"/>
        </w:rPr>
        <w:t>4</w:t>
      </w:r>
      <w:r>
        <w:rPr>
          <w:rFonts w:ascii="仿宋" w:hAnsi="仿宋" w:eastAsia="仿宋"/>
          <w:b w:val="0"/>
          <w:bCs w:val="0"/>
          <w:sz w:val="28"/>
          <w:szCs w:val="28"/>
        </w:rPr>
        <w:t>、</w:t>
      </w:r>
      <w:r>
        <w:rPr>
          <w:rFonts w:ascii="仿宋" w:hAnsi="仿宋" w:eastAsia="仿宋"/>
          <w:sz w:val="28"/>
          <w:szCs w:val="28"/>
        </w:rPr>
        <w:t>投标人提供自202</w:t>
      </w:r>
      <w:r>
        <w:rPr>
          <w:rFonts w:hint="eastAsia" w:ascii="仿宋" w:hAnsi="仿宋" w:eastAsia="仿宋"/>
          <w:sz w:val="28"/>
          <w:szCs w:val="28"/>
          <w:lang w:val="en-US" w:eastAsia="zh-CN"/>
        </w:rPr>
        <w:t>1</w:t>
      </w:r>
      <w:r>
        <w:rPr>
          <w:rFonts w:ascii="仿宋" w:hAnsi="仿宋" w:eastAsia="仿宋"/>
          <w:sz w:val="28"/>
          <w:szCs w:val="28"/>
        </w:rPr>
        <w:t>年01月01日以来三级及以上等保测评服务业绩合同（以合同签订日期为准）。</w:t>
      </w:r>
      <w:bookmarkStart w:id="30" w:name="_GoBack"/>
      <w:bookmarkEnd w:id="30"/>
    </w:p>
    <w:p w14:paraId="1D1A8130">
      <w:pPr>
        <w:pStyle w:val="15"/>
        <w:spacing w:line="360" w:lineRule="auto"/>
        <w:ind w:firstLine="480" w:firstLineChars="200"/>
      </w:pPr>
    </w:p>
    <w:p w14:paraId="40C79B66">
      <w:pPr>
        <w:rPr>
          <w:rFonts w:hint="default"/>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粗黑宋简体">
    <w:altName w:val="宋体"/>
    <w:panose1 w:val="00000000000000000000"/>
    <w:charset w:val="86"/>
    <w:family w:val="auto"/>
    <w:pitch w:val="default"/>
    <w:sig w:usb0="00000000" w:usb1="00000000" w:usb2="00000012"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BDA218"/>
    <w:multiLevelType w:val="singleLevel"/>
    <w:tmpl w:val="B3BDA218"/>
    <w:lvl w:ilvl="0" w:tentative="0">
      <w:start w:val="8"/>
      <w:numFmt w:val="decimal"/>
      <w:suff w:val="nothing"/>
      <w:lvlText w:val="%1、"/>
      <w:lvlJc w:val="left"/>
    </w:lvl>
  </w:abstractNum>
  <w:abstractNum w:abstractNumId="1">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2">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3">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FiMjNlZWNlNzcwZTExNzdmMWFkOTMwZjQxN2NmNzYifQ=="/>
  </w:docVars>
  <w:rsids>
    <w:rsidRoot w:val="00892807"/>
    <w:rsid w:val="00067052"/>
    <w:rsid w:val="0008451E"/>
    <w:rsid w:val="00136276"/>
    <w:rsid w:val="001C0929"/>
    <w:rsid w:val="00230FF6"/>
    <w:rsid w:val="00263051"/>
    <w:rsid w:val="002E7FDC"/>
    <w:rsid w:val="00303715"/>
    <w:rsid w:val="004E5AB4"/>
    <w:rsid w:val="005302BB"/>
    <w:rsid w:val="0057654D"/>
    <w:rsid w:val="005A5C4D"/>
    <w:rsid w:val="00652858"/>
    <w:rsid w:val="00840444"/>
    <w:rsid w:val="00892807"/>
    <w:rsid w:val="008A4A19"/>
    <w:rsid w:val="008A5AD6"/>
    <w:rsid w:val="00905661"/>
    <w:rsid w:val="009B5F5E"/>
    <w:rsid w:val="00A00C72"/>
    <w:rsid w:val="00A11D19"/>
    <w:rsid w:val="00A17E91"/>
    <w:rsid w:val="00AF6AB3"/>
    <w:rsid w:val="00B714B8"/>
    <w:rsid w:val="00B941E3"/>
    <w:rsid w:val="00BC6B4B"/>
    <w:rsid w:val="00C8621A"/>
    <w:rsid w:val="00CB206C"/>
    <w:rsid w:val="00CD38D2"/>
    <w:rsid w:val="00D36501"/>
    <w:rsid w:val="00DD0142"/>
    <w:rsid w:val="00E32471"/>
    <w:rsid w:val="00FD55F0"/>
    <w:rsid w:val="02122EDF"/>
    <w:rsid w:val="04B9457D"/>
    <w:rsid w:val="0B326276"/>
    <w:rsid w:val="0FF91A3B"/>
    <w:rsid w:val="13CA3E07"/>
    <w:rsid w:val="19686284"/>
    <w:rsid w:val="1EA76909"/>
    <w:rsid w:val="23F26D4F"/>
    <w:rsid w:val="29285DFA"/>
    <w:rsid w:val="29AC50FA"/>
    <w:rsid w:val="2E5E4297"/>
    <w:rsid w:val="310B77B3"/>
    <w:rsid w:val="456F672F"/>
    <w:rsid w:val="4C587878"/>
    <w:rsid w:val="55220438"/>
    <w:rsid w:val="57011FE8"/>
    <w:rsid w:val="5A0D5F34"/>
    <w:rsid w:val="5B6E7234"/>
    <w:rsid w:val="62175FD8"/>
    <w:rsid w:val="637F0576"/>
    <w:rsid w:val="64E545CE"/>
    <w:rsid w:val="6B877561"/>
    <w:rsid w:val="6E8A5F54"/>
    <w:rsid w:val="7A3F6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hint="eastAsia" w:ascii="Times New Roman" w:hAnsi="Times New Roman" w:eastAsia="仿宋_GB2312" w:cs="Times New Roman"/>
      <w:kern w:val="2"/>
      <w:sz w:val="32"/>
      <w:lang w:val="en-US" w:eastAsia="zh-CN" w:bidi="ar-SA"/>
    </w:rPr>
  </w:style>
  <w:style w:type="paragraph" w:styleId="2">
    <w:name w:val="heading 1"/>
    <w:basedOn w:val="1"/>
    <w:next w:val="1"/>
    <w:link w:val="13"/>
    <w:autoRedefine/>
    <w:qFormat/>
    <w:uiPriority w:val="0"/>
    <w:pPr>
      <w:keepNext/>
      <w:keepLines/>
      <w:spacing w:before="340" w:after="330" w:line="576" w:lineRule="auto"/>
      <w:outlineLvl w:val="0"/>
    </w:pPr>
    <w:rPr>
      <w:rFonts w:hint="default" w:eastAsia="方正粗黑宋简体"/>
      <w:kern w:val="44"/>
      <w:sz w:val="44"/>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link w:val="16"/>
    <w:autoRedefine/>
    <w:qFormat/>
    <w:uiPriority w:val="0"/>
    <w:pPr>
      <w:ind w:firstLine="420"/>
    </w:pPr>
    <w:rPr>
      <w:rFonts w:hint="default" w:eastAsia="宋体"/>
      <w:sz w:val="21"/>
    </w:rPr>
  </w:style>
  <w:style w:type="paragraph" w:styleId="4">
    <w:name w:val="Body Text Indent"/>
    <w:basedOn w:val="1"/>
    <w:next w:val="5"/>
    <w:link w:val="18"/>
    <w:autoRedefine/>
    <w:semiHidden/>
    <w:unhideWhenUsed/>
    <w:qFormat/>
    <w:uiPriority w:val="99"/>
    <w:pPr>
      <w:spacing w:after="120"/>
      <w:ind w:left="420" w:leftChars="200"/>
    </w:pPr>
  </w:style>
  <w:style w:type="paragraph" w:styleId="5">
    <w:name w:val="envelope return"/>
    <w:basedOn w:val="1"/>
    <w:autoRedefine/>
    <w:qFormat/>
    <w:uiPriority w:val="0"/>
    <w:pPr>
      <w:snapToGrid w:val="0"/>
    </w:pPr>
    <w:rPr>
      <w:rFonts w:ascii="Arial" w:hAnsi="Arial" w:cs="Arial"/>
      <w:sz w:val="21"/>
      <w:szCs w:val="24"/>
    </w:rPr>
  </w:style>
  <w:style w:type="paragraph" w:styleId="6">
    <w:name w:val="footer"/>
    <w:basedOn w:val="1"/>
    <w:link w:val="12"/>
    <w:autoRedefine/>
    <w:unhideWhenUsed/>
    <w:qFormat/>
    <w:uiPriority w:val="99"/>
    <w:pPr>
      <w:tabs>
        <w:tab w:val="center" w:pos="4153"/>
        <w:tab w:val="right" w:pos="8306"/>
      </w:tabs>
      <w:snapToGrid w:val="0"/>
      <w:jc w:val="left"/>
    </w:pPr>
    <w:rPr>
      <w:sz w:val="18"/>
      <w:szCs w:val="18"/>
    </w:rPr>
  </w:style>
  <w:style w:type="paragraph" w:styleId="7">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4"/>
    <w:link w:val="19"/>
    <w:autoRedefine/>
    <w:semiHidden/>
    <w:unhideWhenUsed/>
    <w:qFormat/>
    <w:uiPriority w:val="99"/>
    <w:pPr>
      <w:ind w:firstLine="420" w:firstLineChars="200"/>
    </w:pPr>
  </w:style>
  <w:style w:type="character" w:customStyle="1" w:styleId="11">
    <w:name w:val="页眉 字符"/>
    <w:basedOn w:val="10"/>
    <w:link w:val="7"/>
    <w:autoRedefine/>
    <w:qFormat/>
    <w:uiPriority w:val="99"/>
    <w:rPr>
      <w:sz w:val="18"/>
      <w:szCs w:val="18"/>
    </w:rPr>
  </w:style>
  <w:style w:type="character" w:customStyle="1" w:styleId="12">
    <w:name w:val="页脚 字符"/>
    <w:basedOn w:val="10"/>
    <w:link w:val="6"/>
    <w:autoRedefine/>
    <w:qFormat/>
    <w:uiPriority w:val="99"/>
    <w:rPr>
      <w:sz w:val="18"/>
      <w:szCs w:val="18"/>
    </w:rPr>
  </w:style>
  <w:style w:type="character" w:customStyle="1" w:styleId="13">
    <w:name w:val="标题 1 字符"/>
    <w:basedOn w:val="10"/>
    <w:link w:val="2"/>
    <w:autoRedefine/>
    <w:qFormat/>
    <w:uiPriority w:val="0"/>
    <w:rPr>
      <w:rFonts w:ascii="Times New Roman" w:hAnsi="Times New Roman" w:eastAsia="方正粗黑宋简体" w:cs="Times New Roman"/>
      <w:kern w:val="44"/>
      <w:sz w:val="44"/>
      <w:szCs w:val="20"/>
    </w:rPr>
  </w:style>
  <w:style w:type="paragraph" w:styleId="14">
    <w:name w:val="List Paragraph"/>
    <w:basedOn w:val="1"/>
    <w:autoRedefine/>
    <w:qFormat/>
    <w:uiPriority w:val="34"/>
    <w:pPr>
      <w:ind w:firstLine="420" w:firstLineChars="200"/>
    </w:pPr>
    <w:rPr>
      <w:rFonts w:hint="default" w:asciiTheme="minorHAnsi" w:hAnsiTheme="minorHAnsi" w:eastAsiaTheme="minorEastAsia" w:cstheme="minorBidi"/>
      <w:sz w:val="21"/>
      <w:szCs w:val="22"/>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正文缩进 字符"/>
    <w:link w:val="3"/>
    <w:autoRedefine/>
    <w:qFormat/>
    <w:uiPriority w:val="0"/>
    <w:rPr>
      <w:rFonts w:ascii="Times New Roman" w:hAnsi="Times New Roman" w:eastAsia="宋体" w:cs="Times New Roman"/>
      <w:szCs w:val="20"/>
    </w:rPr>
  </w:style>
  <w:style w:type="paragraph" w:customStyle="1" w:styleId="17">
    <w:name w:val="国标3级"/>
    <w:basedOn w:val="1"/>
    <w:autoRedefine/>
    <w:semiHidden/>
    <w:qFormat/>
    <w:uiPriority w:val="0"/>
    <w:pPr>
      <w:snapToGrid w:val="0"/>
      <w:spacing w:line="312" w:lineRule="exact"/>
    </w:pPr>
    <w:rPr>
      <w:rFonts w:hint="default" w:ascii="宋体" w:hAnsi="宋体" w:eastAsia="宋体"/>
      <w:color w:val="000000"/>
      <w:sz w:val="21"/>
      <w:szCs w:val="22"/>
    </w:rPr>
  </w:style>
  <w:style w:type="character" w:customStyle="1" w:styleId="18">
    <w:name w:val="正文文本缩进 字符"/>
    <w:basedOn w:val="10"/>
    <w:link w:val="4"/>
    <w:autoRedefine/>
    <w:semiHidden/>
    <w:qFormat/>
    <w:uiPriority w:val="99"/>
    <w:rPr>
      <w:rFonts w:ascii="Times New Roman" w:hAnsi="Times New Roman" w:eastAsia="仿宋_GB2312" w:cs="Times New Roman"/>
      <w:sz w:val="32"/>
      <w:szCs w:val="20"/>
    </w:rPr>
  </w:style>
  <w:style w:type="character" w:customStyle="1" w:styleId="19">
    <w:name w:val="正文首行缩进 2 字符"/>
    <w:basedOn w:val="18"/>
    <w:link w:val="8"/>
    <w:autoRedefine/>
    <w:semiHidden/>
    <w:qFormat/>
    <w:uiPriority w:val="99"/>
    <w:rPr>
      <w:rFonts w:ascii="Times New Roman" w:hAnsi="Times New Roman" w:eastAsia="仿宋_GB2312" w:cs="Times New Roman"/>
      <w:sz w:val="32"/>
      <w:szCs w:val="20"/>
    </w:rPr>
  </w:style>
  <w:style w:type="paragraph" w:customStyle="1" w:styleId="20">
    <w:name w:val="Table Paragraph"/>
    <w:basedOn w:val="1"/>
    <w:autoRedefine/>
    <w:qFormat/>
    <w:uiPriority w:val="1"/>
    <w:pPr>
      <w:autoSpaceDE w:val="0"/>
      <w:autoSpaceDN w:val="0"/>
      <w:jc w:val="left"/>
    </w:pPr>
    <w:rPr>
      <w:rFonts w:ascii="宋体" w:hAnsi="宋体" w:eastAsia="宋体" w:cs="宋体"/>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2809</Words>
  <Characters>2939</Characters>
  <Lines>21</Lines>
  <Paragraphs>6</Paragraphs>
  <TotalTime>11</TotalTime>
  <ScaleCrop>false</ScaleCrop>
  <LinksUpToDate>false</LinksUpToDate>
  <CharactersWithSpaces>2959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2023-07-19T08:53:00Z</dcterms:created>
  <dc:creator>Administrator</dc:creator>
  <cp:lastModifiedBy>fly me to the moon</cp:lastModifiedBy>
  <dcterms:modified xsi:type="dcterms:W3CDTF">2024-12-02T07:21:05Z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3F32D238A727491BA7AF84AD838F1985_13</vt:lpwstr>
  </property>
</Properties>
</file>