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64000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宿州职业技术学院机电工程系机电相关专业实习实训耗材采购项目</w:t>
      </w:r>
    </w:p>
    <w:p w14:paraId="1EF0B7CF">
      <w:pPr>
        <w:pStyle w:val="19"/>
        <w:spacing w:line="280" w:lineRule="exact"/>
        <w:rPr>
          <w:rFonts w:hint="eastAsia" w:ascii="微软雅黑" w:hAnsi="微软雅黑" w:eastAsia="微软雅黑" w:cs="微软雅黑"/>
          <w:szCs w:val="24"/>
          <w:lang w:val="en-US" w:eastAsia="zh-CN"/>
        </w:rPr>
      </w:pPr>
    </w:p>
    <w:p w14:paraId="457BE9D6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、项目名称：宿州职业技术学院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机电工程系实习实训耗材采购项目</w:t>
      </w:r>
    </w:p>
    <w:p w14:paraId="569F9D1D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3、采购项目类型：货物类</w:t>
      </w:r>
    </w:p>
    <w:p w14:paraId="00680DE5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4、资金预算：最高限价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bookmarkStart w:id="0" w:name="_GoBack"/>
      <w:bookmarkEnd w:id="0"/>
    </w:p>
    <w:p w14:paraId="01CC8FF1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5、供货时间：签订合同后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3日</w:t>
      </w:r>
      <w:r>
        <w:rPr>
          <w:rFonts w:hint="eastAsia" w:ascii="宋体" w:hAnsi="宋体" w:eastAsia="宋体" w:cs="宋体"/>
          <w:sz w:val="24"/>
          <w:szCs w:val="24"/>
        </w:rPr>
        <w:t>内完成供货。</w:t>
      </w:r>
    </w:p>
    <w:p w14:paraId="349B189E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6、交货地点：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宿州职业技术学院</w:t>
      </w:r>
    </w:p>
    <w:p w14:paraId="47DACE49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实习实训耗材，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详见附表</w:t>
      </w:r>
    </w:p>
    <w:p w14:paraId="04744919">
      <w:pPr>
        <w:pStyle w:val="20"/>
        <w:spacing w:line="460" w:lineRule="exact"/>
        <w:ind w:left="239" w:leftChars="114" w:firstLine="240" w:firstLineChars="100"/>
        <w:rPr>
          <w:rFonts w:hint="default" w:ascii="微软雅黑" w:hAnsi="微软雅黑" w:eastAsia="微软雅黑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、运货要求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包装要求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供应商应对所有耗材进行合理包装，确保各类耗材在运输过程中不会因相互碰撞、挤压等原因造成损坏。电工工具类应采用专门的工具箱进行收纳，电子元器件需用防静电包装材料包装，机械零部件可根据其尺寸、形状选用合适的纸盒、塑料盒等进行分装，其他耗材也要做好相应的防潮、防破损包装措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运输方式及安全性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优先选择安全可靠、运输时间有保障的运输方式，如厢式货车运输等，避免货物遭受日晒、雨淋等恶劣天气影响。运输过程中需确保货物固定牢固，防止因路途颠簸出现移位、散落等情况，对于易碎、易损的耗材要做好额外的防护缓冲措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运输标识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货物外包装上应清晰标注“机电一体化专业实习耗材”字样，同时标明内装货物的大致类别（如电子元器件、机械零部件等）、易碎物品标识（若有）、轻拿轻放标识以及收货方的名称、地址、联系电话等信息，便于运输过程中的识别与交接。</w:t>
      </w:r>
    </w:p>
    <w:p w14:paraId="2EE23A90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、质量保证及售后服务：</w:t>
      </w:r>
    </w:p>
    <w:p w14:paraId="4BE641C3">
      <w:pPr>
        <w:pStyle w:val="20"/>
        <w:spacing w:line="460" w:lineRule="exact"/>
        <w:ind w:left="239" w:leftChars="114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供应商所提供的所有耗材必须为全新正品，符合国家相关质量标准及规定的各项质量要求。如发现所供货存在质量问题，供应商在接到通知后2天内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，并及时完成退换货或维修等处理措施，确保实习教学活动不受影响。</w:t>
      </w:r>
    </w:p>
    <w:p w14:paraId="08BF209E">
      <w:pPr>
        <w:pStyle w:val="20"/>
        <w:spacing w:line="460" w:lineRule="exact"/>
        <w:rPr>
          <w:rFonts w:hint="eastAsia" w:ascii="微软雅黑" w:hAnsi="微软雅黑" w:eastAsia="微软雅黑" w:cs="微软雅黑"/>
          <w:szCs w:val="24"/>
        </w:rPr>
      </w:pPr>
    </w:p>
    <w:p w14:paraId="0EEB8FCC">
      <w:pPr>
        <w:pStyle w:val="20"/>
        <w:spacing w:line="460" w:lineRule="exact"/>
        <w:rPr>
          <w:rFonts w:hint="eastAsia" w:ascii="微软雅黑" w:hAnsi="微软雅黑" w:eastAsia="微软雅黑" w:cs="微软雅黑"/>
          <w:szCs w:val="24"/>
        </w:rPr>
      </w:pPr>
    </w:p>
    <w:p w14:paraId="50BE8548">
      <w:pPr>
        <w:pStyle w:val="20"/>
        <w:spacing w:line="460" w:lineRule="exact"/>
        <w:rPr>
          <w:rFonts w:hint="eastAsia" w:ascii="微软雅黑" w:hAnsi="微软雅黑" w:eastAsia="微软雅黑" w:cs="微软雅黑"/>
          <w:szCs w:val="24"/>
        </w:rPr>
      </w:pPr>
    </w:p>
    <w:p w14:paraId="27492973">
      <w:pPr>
        <w:pStyle w:val="20"/>
        <w:spacing w:line="460" w:lineRule="exact"/>
        <w:rPr>
          <w:rFonts w:hint="eastAsia" w:ascii="微软雅黑" w:hAnsi="微软雅黑" w:eastAsia="微软雅黑" w:cs="微软雅黑"/>
          <w:szCs w:val="24"/>
        </w:rPr>
      </w:pPr>
    </w:p>
    <w:p w14:paraId="4158D0FA">
      <w:pPr>
        <w:pStyle w:val="20"/>
        <w:spacing w:line="460" w:lineRule="exact"/>
        <w:rPr>
          <w:rFonts w:hint="eastAsia" w:ascii="微软雅黑" w:hAnsi="微软雅黑" w:eastAsia="微软雅黑" w:cs="微软雅黑"/>
          <w:color w:val="auto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Cs w:val="24"/>
        </w:rPr>
        <w:t xml:space="preserve">附：技术条款                         </w:t>
      </w:r>
    </w:p>
    <w:tbl>
      <w:tblPr>
        <w:tblStyle w:val="8"/>
        <w:tblW w:w="6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08"/>
        <w:gridCol w:w="1987"/>
        <w:gridCol w:w="882"/>
        <w:gridCol w:w="900"/>
      </w:tblGrid>
      <w:tr w14:paraId="5FC25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2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D4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92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AC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79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</w:tr>
      <w:tr w14:paraId="2BE0D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磁性开关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CS1-J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EB49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7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磁性开关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CS1-G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6046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5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6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339AD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光电开关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9ED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接近开关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D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A835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双层接线端子排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UKK5 2.5-4MM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45D0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DZ47sLE 2P 10A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67E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漏电保护器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DZ47sLE 3P+N 10A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D9F4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LRS-75-24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D7B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CJX2s-1210 220V 50Hz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3752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NR4-63 1.6A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A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B446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CJX1-9/22(220V)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2D4F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继电器底座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CDZ9L-52P小座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AF8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D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CDZ9L-52P(带灯)DC24V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68C7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LA38-11BN自复 黄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22947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LA38-11BN自复 绿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8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78B21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LA38-11BN自复 红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315B7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6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按钮支架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LA38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2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379B8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端子排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TB-1520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D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6084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端子排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TB-1510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9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5825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铝合金导轨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K5600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31AF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线槽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21FD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F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4461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1214C（DC/DC/DC）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</w:tbl>
    <w:p w14:paraId="46BD7CC0">
      <w:pPr>
        <w:rPr>
          <w:rFonts w:hint="eastAsia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1D7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72C9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958C6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CDFC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6DEB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E111F"/>
    <w:multiLevelType w:val="multilevel"/>
    <w:tmpl w:val="27EE111F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01" w:hanging="360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pStyle w:val="13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 w:val="0"/>
        <w:color w:val="auto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jgyNTgyOWFhZDI2MTM3ZDM1ODhmNzI1YmI3YmQifQ=="/>
    <w:docVar w:name="KSO_WPS_MARK_KEY" w:val="998e3793-a7c4-4d17-8f45-fefe34db279c"/>
  </w:docVars>
  <w:rsids>
    <w:rsidRoot w:val="00DE6664"/>
    <w:rsid w:val="00142477"/>
    <w:rsid w:val="008B68EB"/>
    <w:rsid w:val="00DE6664"/>
    <w:rsid w:val="09185F51"/>
    <w:rsid w:val="0D8715DC"/>
    <w:rsid w:val="12AB7AE8"/>
    <w:rsid w:val="12E41246"/>
    <w:rsid w:val="1329333D"/>
    <w:rsid w:val="1AC15AF3"/>
    <w:rsid w:val="1CB60457"/>
    <w:rsid w:val="208405EE"/>
    <w:rsid w:val="219F31AE"/>
    <w:rsid w:val="248D1AFA"/>
    <w:rsid w:val="25612E40"/>
    <w:rsid w:val="26C379D7"/>
    <w:rsid w:val="277C3FF7"/>
    <w:rsid w:val="289E344E"/>
    <w:rsid w:val="29BB06E4"/>
    <w:rsid w:val="2A166BC0"/>
    <w:rsid w:val="2E02146E"/>
    <w:rsid w:val="336B12EE"/>
    <w:rsid w:val="37DC5F59"/>
    <w:rsid w:val="39466D56"/>
    <w:rsid w:val="3997001F"/>
    <w:rsid w:val="3C620715"/>
    <w:rsid w:val="3DD35F6B"/>
    <w:rsid w:val="445156EB"/>
    <w:rsid w:val="46D66215"/>
    <w:rsid w:val="48F37735"/>
    <w:rsid w:val="4CED2636"/>
    <w:rsid w:val="52E4696F"/>
    <w:rsid w:val="544A2713"/>
    <w:rsid w:val="557F7E75"/>
    <w:rsid w:val="564E72A0"/>
    <w:rsid w:val="584954AE"/>
    <w:rsid w:val="5A7677FB"/>
    <w:rsid w:val="5C845CE0"/>
    <w:rsid w:val="63753505"/>
    <w:rsid w:val="66986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Tahoma" w:hAnsi="Tahom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customStyle="1" w:styleId="13">
    <w:name w:val="head 1.1.1"/>
    <w:basedOn w:val="14"/>
    <w:link w:val="28"/>
    <w:qFormat/>
    <w:uiPriority w:val="0"/>
    <w:pPr>
      <w:numPr>
        <w:ilvl w:val="2"/>
        <w:numId w:val="1"/>
      </w:numPr>
      <w:ind w:firstLine="0" w:firstLineChars="0"/>
    </w:pPr>
    <w:rPr>
      <w:rFonts w:ascii="Times New Roman" w:hAnsi="Times New Roman" w:eastAsia="宋体" w:cs="Times New Roman"/>
      <w:bCs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Text1I"/>
    <w:basedOn w:val="16"/>
    <w:qFormat/>
    <w:uiPriority w:val="0"/>
    <w:pPr>
      <w:spacing w:after="120" w:line="500" w:lineRule="exact"/>
      <w:ind w:firstLine="510"/>
      <w:jc w:val="both"/>
      <w:textAlignment w:val="baseline"/>
    </w:pPr>
    <w:rPr>
      <w:rFonts w:ascii="宋体" w:hAnsi="Times New Roman"/>
      <w:kern w:val="2"/>
      <w:sz w:val="28"/>
      <w:szCs w:val="20"/>
      <w:lang w:val="en-US" w:eastAsia="zh-CN" w:bidi="ar-SA"/>
    </w:rPr>
  </w:style>
  <w:style w:type="paragraph" w:customStyle="1" w:styleId="16">
    <w:name w:val="BodyText"/>
    <w:basedOn w:val="1"/>
    <w:next w:val="4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0"/>
      <w:lang w:val="en-US" w:eastAsia="zh-CN" w:bidi="ar-SA"/>
    </w:rPr>
  </w:style>
  <w:style w:type="paragraph" w:customStyle="1" w:styleId="17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18">
    <w:name w:val="默认"/>
    <w:qFormat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zh-CN" w:eastAsia="zh-CN"/>
    </w:rPr>
  </w:style>
  <w:style w:type="paragraph" w:customStyle="1" w:styleId="19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20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qFormat/>
    <w:uiPriority w:val="0"/>
    <w:pPr>
      <w:widowControl w:val="0"/>
      <w:shd w:val="clear" w:color="auto" w:fill="auto"/>
      <w:spacing w:line="357" w:lineRule="exact"/>
      <w:jc w:val="center"/>
    </w:pPr>
    <w:rPr>
      <w:rFonts w:ascii="Arial" w:hAnsi="Arial" w:eastAsia="Arial" w:cs="Arial"/>
      <w:sz w:val="20"/>
      <w:szCs w:val="20"/>
      <w:u w:val="none"/>
      <w:shd w:val="clear" w:color="auto" w:fill="auto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372" w:lineRule="auto"/>
      <w:jc w:val="center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4">
    <w:name w:val="font_notice"/>
    <w:basedOn w:val="10"/>
    <w:qFormat/>
    <w:uiPriority w:val="0"/>
    <w:rPr>
      <w:color w:val="CC9999"/>
    </w:rPr>
  </w:style>
  <w:style w:type="character" w:customStyle="1" w:styleId="2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7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61"/>
    <w:basedOn w:val="10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8">
    <w:name w:val="head 1.1.1 Char"/>
    <w:basedOn w:val="10"/>
    <w:link w:val="13"/>
    <w:qFormat/>
    <w:uiPriority w:val="0"/>
    <w:rPr>
      <w:rFonts w:ascii="Times New Roman" w:hAnsi="Times New Roman" w:eastAsia="宋体" w:cs="Times New Roman"/>
      <w:bCs/>
      <w:szCs w:val="24"/>
    </w:rPr>
  </w:style>
  <w:style w:type="character" w:customStyle="1" w:styleId="29">
    <w:name w:val="font_notice2"/>
    <w:basedOn w:val="10"/>
    <w:qFormat/>
    <w:uiPriority w:val="0"/>
    <w:rPr>
      <w:color w:val="CC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2</Pages>
  <Words>840</Words>
  <Characters>1055</Characters>
  <Lines>19</Lines>
  <Paragraphs>5</Paragraphs>
  <TotalTime>4</TotalTime>
  <ScaleCrop>false</ScaleCrop>
  <LinksUpToDate>false</LinksUpToDate>
  <CharactersWithSpaces>1093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fly me to the moon</cp:lastModifiedBy>
  <dcterms:modified xsi:type="dcterms:W3CDTF">2024-11-15T01:53:06Z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45A8E73550804F6EAC3F660DF38F457C_13</vt:lpwstr>
  </property>
</Properties>
</file>